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3FA1C">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p>
    <w:p w14:paraId="30F61250">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p>
    <w:p w14:paraId="63325517">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合同编号：</w:t>
      </w:r>
    </w:p>
    <w:p w14:paraId="3174FCE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b w:val="0"/>
          <w:bCs w:val="0"/>
          <w:sz w:val="44"/>
          <w:szCs w:val="44"/>
        </w:rPr>
      </w:pPr>
    </w:p>
    <w:p w14:paraId="16017589">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方正公文小标宋" w:hAnsi="方正公文小标宋" w:eastAsia="方正公文小标宋" w:cs="方正公文小标宋"/>
          <w:b w:val="0"/>
          <w:bCs w:val="0"/>
          <w:sz w:val="44"/>
          <w:szCs w:val="44"/>
        </w:rPr>
      </w:pPr>
    </w:p>
    <w:p w14:paraId="4BED42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9"/>
          <w:rFonts w:hint="eastAsia"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b w:val="0"/>
          <w:bCs w:val="0"/>
          <w:sz w:val="44"/>
          <w:szCs w:val="44"/>
        </w:rPr>
        <w:t>【</w:t>
      </w:r>
      <w:r>
        <w:rPr>
          <w:rFonts w:hint="eastAsia" w:ascii="方正公文小标宋" w:hAnsi="方正公文小标宋" w:eastAsia="方正公文小标宋" w:cs="方正公文小标宋"/>
          <w:kern w:val="0"/>
          <w:sz w:val="44"/>
          <w:szCs w:val="44"/>
          <w:lang w:eastAsia="zh-CN"/>
        </w:rPr>
        <w:t>金寨县生活污水处理厂及污水管网一体化项目EPC工程项目</w:t>
      </w:r>
      <w:r>
        <w:rPr>
          <w:rStyle w:val="9"/>
          <w:rFonts w:hint="eastAsia" w:ascii="方正公文小标宋" w:hAnsi="方正公文小标宋" w:eastAsia="方正公文小标宋" w:cs="方正公文小标宋"/>
          <w:b w:val="0"/>
          <w:bCs/>
          <w:sz w:val="44"/>
          <w:szCs w:val="44"/>
          <w:lang w:val="en-US" w:eastAsia="zh-CN"/>
        </w:rPr>
        <w:t>】</w:t>
      </w:r>
    </w:p>
    <w:p w14:paraId="6864990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9"/>
          <w:rFonts w:hint="default" w:ascii="方正公文小标宋" w:hAnsi="方正公文小标宋" w:eastAsia="方正公文小标宋" w:cs="方正公文小标宋"/>
          <w:b w:val="0"/>
          <w:bCs/>
          <w:sz w:val="44"/>
          <w:szCs w:val="44"/>
          <w:lang w:val="en-US" w:eastAsia="zh-CN"/>
        </w:rPr>
      </w:pPr>
      <w:r>
        <w:rPr>
          <w:rFonts w:hint="eastAsia" w:ascii="方正公文小标宋" w:hAnsi="方正公文小标宋" w:eastAsia="方正公文小标宋" w:cs="方正公文小标宋"/>
          <w:kern w:val="0"/>
          <w:sz w:val="44"/>
          <w:szCs w:val="44"/>
          <w:lang w:eastAsia="zh-CN"/>
        </w:rPr>
        <w:t>小区污水管网疏通专业分包</w:t>
      </w:r>
    </w:p>
    <w:p w14:paraId="49FCB043">
      <w:pPr>
        <w:autoSpaceDE w:val="0"/>
        <w:autoSpaceDN w:val="0"/>
        <w:adjustRightInd w:val="0"/>
        <w:spacing w:line="360" w:lineRule="auto"/>
        <w:ind w:firstLine="8834" w:firstLineChars="2000"/>
        <w:jc w:val="both"/>
        <w:rPr>
          <w:rFonts w:hint="default" w:ascii="Times New Roman" w:hAnsi="Times New Roman" w:cs="Times New Roman"/>
          <w:b/>
          <w:kern w:val="0"/>
          <w:sz w:val="44"/>
          <w:szCs w:val="44"/>
        </w:rPr>
      </w:pPr>
    </w:p>
    <w:p w14:paraId="583C99F3">
      <w:pPr>
        <w:spacing w:line="500" w:lineRule="exact"/>
        <w:ind w:firstLine="480" w:firstLineChars="200"/>
        <w:rPr>
          <w:rFonts w:hint="default" w:ascii="Times New Roman" w:hAnsi="Times New Roman" w:eastAsia="仿宋" w:cs="Times New Roman"/>
          <w:sz w:val="24"/>
          <w:szCs w:val="24"/>
        </w:rPr>
      </w:pPr>
    </w:p>
    <w:p w14:paraId="7F4E15D1">
      <w:pPr>
        <w:spacing w:line="500" w:lineRule="exact"/>
        <w:rPr>
          <w:rFonts w:hint="default" w:ascii="Times New Roman" w:hAnsi="Times New Roman" w:eastAsia="仿宋" w:cs="Times New Roman"/>
          <w:sz w:val="24"/>
          <w:szCs w:val="24"/>
        </w:rPr>
      </w:pPr>
    </w:p>
    <w:p w14:paraId="6447C4CA">
      <w:pPr>
        <w:spacing w:line="500" w:lineRule="exact"/>
        <w:ind w:firstLine="480" w:firstLineChars="200"/>
        <w:rPr>
          <w:rFonts w:hint="default" w:ascii="Times New Roman" w:hAnsi="Times New Roman" w:eastAsia="仿宋" w:cs="Times New Roman"/>
          <w:sz w:val="24"/>
          <w:szCs w:val="24"/>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8"/>
        <w:gridCol w:w="4916"/>
      </w:tblGrid>
      <w:tr w14:paraId="32E2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B18478A">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 xml:space="preserve">发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w:t>
            </w:r>
            <w:r>
              <w:rPr>
                <w:rFonts w:hint="default" w:ascii="Times New Roman" w:hAnsi="Times New Roman" w:eastAsia="仿宋_GB2312" w:cs="Times New Roman"/>
                <w:sz w:val="32"/>
                <w:szCs w:val="32"/>
                <w:lang w:val="en-US" w:eastAsia="zh-CN"/>
              </w:rPr>
              <w:t>甲</w:t>
            </w:r>
            <w:r>
              <w:rPr>
                <w:rFonts w:hint="default" w:ascii="Times New Roman" w:hAnsi="Times New Roman" w:eastAsia="仿宋_GB2312" w:cs="Times New Roman"/>
                <w:sz w:val="32"/>
                <w:szCs w:val="32"/>
              </w:rPr>
              <w:t>方）:</w:t>
            </w:r>
          </w:p>
        </w:tc>
        <w:tc>
          <w:tcPr>
            <w:tcW w:w="4916" w:type="dxa"/>
            <w:noWrap w:val="0"/>
            <w:vAlign w:val="top"/>
          </w:tcPr>
          <w:p w14:paraId="22FF4B32">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溧阳水务市政工程有限公司</w:t>
            </w:r>
            <w:r>
              <w:rPr>
                <w:rFonts w:hint="default" w:ascii="Times New Roman" w:hAnsi="Times New Roman" w:eastAsia="仿宋_GB2312" w:cs="Times New Roman"/>
                <w:sz w:val="32"/>
                <w:szCs w:val="32"/>
                <w:u w:val="none"/>
                <w:lang w:val="en-US" w:eastAsia="zh-CN"/>
              </w:rPr>
              <w:t>】</w:t>
            </w:r>
          </w:p>
        </w:tc>
      </w:tr>
      <w:tr w14:paraId="258D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D2D6DF6">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16" w:type="dxa"/>
            <w:noWrap w:val="0"/>
            <w:vAlign w:val="top"/>
          </w:tcPr>
          <w:p w14:paraId="69B0EF54">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【91320481569106264P】</w:t>
            </w:r>
          </w:p>
        </w:tc>
      </w:tr>
      <w:tr w14:paraId="7B65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14ECD92E">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承</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方（乙方）:</w:t>
            </w:r>
          </w:p>
        </w:tc>
        <w:tc>
          <w:tcPr>
            <w:tcW w:w="4916" w:type="dxa"/>
            <w:noWrap w:val="0"/>
            <w:vAlign w:val="top"/>
          </w:tcPr>
          <w:p w14:paraId="70C838E9">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安徽春和诚建设工程有限公司</w:t>
            </w:r>
            <w:r>
              <w:rPr>
                <w:rFonts w:hint="default" w:ascii="Times New Roman" w:hAnsi="Times New Roman" w:eastAsia="仿宋_GB2312" w:cs="Times New Roman"/>
                <w:sz w:val="32"/>
                <w:szCs w:val="32"/>
                <w:u w:val="none"/>
                <w:lang w:val="en-US" w:eastAsia="zh-CN"/>
              </w:rPr>
              <w:t>】</w:t>
            </w:r>
          </w:p>
        </w:tc>
      </w:tr>
      <w:tr w14:paraId="326B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68804642">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16" w:type="dxa"/>
            <w:noWrap w:val="0"/>
            <w:vAlign w:val="top"/>
          </w:tcPr>
          <w:p w14:paraId="132C4DA2">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91341524MA2N27DP9Y</w:t>
            </w:r>
            <w:r>
              <w:rPr>
                <w:rFonts w:hint="default" w:ascii="Times New Roman" w:hAnsi="Times New Roman" w:eastAsia="仿宋_GB2312" w:cs="Times New Roman"/>
                <w:sz w:val="32"/>
                <w:szCs w:val="32"/>
                <w:u w:val="none"/>
                <w:lang w:val="en-US" w:eastAsia="zh-CN"/>
              </w:rPr>
              <w:t>】</w:t>
            </w:r>
          </w:p>
        </w:tc>
      </w:tr>
      <w:tr w14:paraId="2AFE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72F6FC23">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签</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订</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期:</w:t>
            </w:r>
          </w:p>
        </w:tc>
        <w:tc>
          <w:tcPr>
            <w:tcW w:w="4916" w:type="dxa"/>
            <w:noWrap w:val="0"/>
            <w:vAlign w:val="top"/>
          </w:tcPr>
          <w:p w14:paraId="7AC25AB8">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w:t>
            </w:r>
          </w:p>
        </w:tc>
      </w:tr>
    </w:tbl>
    <w:p w14:paraId="062EF0FF">
      <w:pPr>
        <w:autoSpaceDE w:val="0"/>
        <w:autoSpaceDN w:val="0"/>
        <w:adjustRightInd w:val="0"/>
        <w:spacing w:line="360" w:lineRule="auto"/>
        <w:jc w:val="both"/>
        <w:rPr>
          <w:rFonts w:hint="default" w:ascii="Times New Roman" w:hAnsi="Times New Roman" w:eastAsia="方正大标宋简体" w:cs="Times New Roman"/>
          <w:b w:val="0"/>
          <w:bCs w:val="0"/>
          <w:kern w:val="0"/>
          <w:sz w:val="44"/>
          <w:szCs w:val="44"/>
          <w:lang w:val="en-US" w:eastAsia="zh-CN"/>
        </w:rPr>
      </w:pPr>
    </w:p>
    <w:p w14:paraId="7D1E6C77">
      <w:pPr>
        <w:autoSpaceDE w:val="0"/>
        <w:autoSpaceDN w:val="0"/>
        <w:adjustRightInd w:val="0"/>
        <w:spacing w:line="360" w:lineRule="auto"/>
        <w:jc w:val="center"/>
        <w:rPr>
          <w:rFonts w:hint="default" w:ascii="Times New Roman" w:hAnsi="Times New Roman" w:eastAsia="方正大标宋简体" w:cs="Times New Roman"/>
          <w:b w:val="0"/>
          <w:bCs w:val="0"/>
          <w:kern w:val="0"/>
          <w:sz w:val="44"/>
          <w:szCs w:val="44"/>
          <w:lang w:val="en-US" w:eastAsia="zh-CN"/>
        </w:rPr>
        <w:sectPr>
          <w:headerReference r:id="rId3" w:type="default"/>
          <w:footerReference r:id="rId4" w:type="default"/>
          <w:pgSz w:w="11906" w:h="16838"/>
          <w:pgMar w:top="1502" w:right="1800" w:bottom="1123" w:left="1701" w:header="851" w:footer="992" w:gutter="0"/>
          <w:cols w:space="720" w:num="1"/>
          <w:docGrid w:type="lines" w:linePitch="312" w:charSpace="0"/>
        </w:sectPr>
      </w:pPr>
    </w:p>
    <w:p w14:paraId="727B2F01">
      <w:pPr>
        <w:autoSpaceDE w:val="0"/>
        <w:autoSpaceDN w:val="0"/>
        <w:adjustRightInd w:val="0"/>
        <w:spacing w:line="360" w:lineRule="auto"/>
        <w:jc w:val="center"/>
        <w:rPr>
          <w:rFonts w:hint="default" w:ascii="Times New Roman" w:hAnsi="Times New Roman" w:eastAsia="方正大标宋简体" w:cs="Times New Roman"/>
          <w:b/>
          <w:kern w:val="0"/>
          <w:sz w:val="44"/>
          <w:szCs w:val="44"/>
        </w:rPr>
      </w:pPr>
      <w:r>
        <w:rPr>
          <w:rFonts w:hint="default" w:ascii="Times New Roman" w:hAnsi="Times New Roman" w:eastAsia="方正大标宋简体" w:cs="Times New Roman"/>
          <w:b w:val="0"/>
          <w:bCs w:val="0"/>
          <w:kern w:val="0"/>
          <w:sz w:val="44"/>
          <w:szCs w:val="44"/>
          <w:lang w:val="en-US" w:eastAsia="zh-CN"/>
        </w:rPr>
        <w:t>工程专业分包</w:t>
      </w:r>
      <w:r>
        <w:rPr>
          <w:rFonts w:hint="default" w:ascii="Times New Roman" w:hAnsi="Times New Roman" w:eastAsia="方正大标宋简体" w:cs="Times New Roman"/>
          <w:b w:val="0"/>
          <w:bCs/>
          <w:kern w:val="0"/>
          <w:sz w:val="44"/>
          <w:szCs w:val="44"/>
        </w:rPr>
        <w:t>合同</w:t>
      </w:r>
    </w:p>
    <w:p w14:paraId="26F5830D">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甲方：【</w:t>
      </w:r>
      <w:r>
        <w:rPr>
          <w:rFonts w:hint="eastAsia" w:ascii="Times New Roman" w:hAnsi="Times New Roman" w:eastAsia="仿宋_GB2312" w:cs="Times New Roman"/>
          <w:sz w:val="28"/>
          <w:szCs w:val="28"/>
          <w:lang w:val="en-US" w:eastAsia="zh-CN"/>
        </w:rPr>
        <w:t>溧阳水务市政工程有限公司</w:t>
      </w:r>
      <w:r>
        <w:rPr>
          <w:rFonts w:hint="default" w:ascii="Times New Roman" w:hAnsi="Times New Roman" w:eastAsia="仿宋_GB2312" w:cs="Times New Roman"/>
          <w:sz w:val="28"/>
          <w:szCs w:val="28"/>
          <w:lang w:val="en-US" w:eastAsia="zh-CN"/>
        </w:rPr>
        <w:t>】</w:t>
      </w:r>
    </w:p>
    <w:p w14:paraId="109447C1">
      <w:pPr>
        <w:spacing w:line="46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w:t>
      </w:r>
      <w:r>
        <w:rPr>
          <w:rFonts w:hint="eastAsia" w:ascii="Times New Roman" w:hAnsi="Times New Roman" w:eastAsia="仿宋_GB2312" w:cs="Times New Roman"/>
          <w:sz w:val="28"/>
          <w:szCs w:val="28"/>
          <w:lang w:val="en-US" w:eastAsia="zh-CN"/>
        </w:rPr>
        <w:t>安徽春和诚建设工程有限公司</w:t>
      </w:r>
      <w:r>
        <w:rPr>
          <w:rFonts w:hint="default" w:ascii="Times New Roman" w:hAnsi="Times New Roman" w:eastAsia="仿宋_GB2312" w:cs="Times New Roman"/>
          <w:sz w:val="28"/>
          <w:szCs w:val="28"/>
          <w:lang w:val="en-US" w:eastAsia="zh-CN"/>
        </w:rPr>
        <w:t>】</w:t>
      </w:r>
    </w:p>
    <w:p w14:paraId="65F25C1C">
      <w:pPr>
        <w:spacing w:line="460" w:lineRule="exact"/>
        <w:ind w:firstLine="840" w:firstLineChars="300"/>
        <w:jc w:val="left"/>
        <w:rPr>
          <w:rFonts w:hint="default" w:ascii="Times New Roman" w:hAnsi="Times New Roman" w:eastAsia="仿宋" w:cs="Times New Roman"/>
          <w:sz w:val="24"/>
          <w:szCs w:val="24"/>
        </w:rPr>
      </w:pPr>
      <w:r>
        <w:rPr>
          <w:rFonts w:hint="default" w:ascii="Times New Roman" w:hAnsi="Times New Roman" w:eastAsia="仿宋_GB2312" w:cs="Times New Roman"/>
          <w:sz w:val="28"/>
          <w:szCs w:val="28"/>
        </w:rPr>
        <w:t>甲、乙依照《中华人民共和国民法典（合同编）》、《中华人民共和国建筑法》及其他相关法律法规规定，甲乙双方就【</w:t>
      </w:r>
      <w:r>
        <w:rPr>
          <w:rFonts w:hint="eastAsia" w:ascii="Times New Roman" w:hAnsi="Times New Roman" w:eastAsia="仿宋_GB2312" w:cs="Times New Roman"/>
          <w:sz w:val="28"/>
          <w:szCs w:val="28"/>
          <w:lang w:eastAsia="zh-CN"/>
        </w:rPr>
        <w:t>金寨县生活污水处理厂及污水管网一体化项目</w:t>
      </w:r>
      <w:r>
        <w:rPr>
          <w:rFonts w:hint="eastAsia" w:ascii="Times New Roman" w:hAnsi="Times New Roman" w:eastAsia="仿宋_GB2312" w:cs="Times New Roman"/>
          <w:sz w:val="28"/>
          <w:szCs w:val="28"/>
          <w:lang w:eastAsia="zh-CN"/>
        </w:rPr>
        <w:t>EPC工程项目</w:t>
      </w:r>
      <w:r>
        <w:rPr>
          <w:rFonts w:hint="eastAsia" w:ascii="Times New Roman" w:hAnsi="Times New Roman" w:eastAsia="仿宋_GB2312" w:cs="Times New Roman"/>
          <w:sz w:val="28"/>
          <w:szCs w:val="28"/>
          <w:lang w:eastAsia="zh-CN"/>
        </w:rPr>
        <w:t>小区污水管网疏通专业分包</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相关事宜，经平等自愿、友好协商，达成一致如下：</w:t>
      </w:r>
    </w:p>
    <w:p w14:paraId="0242A9A8">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一、工程概况</w:t>
      </w:r>
    </w:p>
    <w:p w14:paraId="5D56DB16">
      <w:pPr>
        <w:keepNext w:val="0"/>
        <w:keepLines w:val="0"/>
        <w:pageBreakBefore w:val="0"/>
        <w:widowControl w:val="0"/>
        <w:kinsoku/>
        <w:wordWrap/>
        <w:overflowPunct/>
        <w:topLinePunct w:val="0"/>
        <w:bidi w:val="0"/>
        <w:snapToGrid/>
        <w:spacing w:line="480" w:lineRule="exact"/>
        <w:ind w:left="1959" w:leftChars="266" w:right="0" w:rightChars="0" w:hanging="1400" w:hangingChars="5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工程名称：【</w:t>
      </w:r>
      <w:r>
        <w:rPr>
          <w:rFonts w:hint="eastAsia" w:ascii="Times New Roman" w:hAnsi="Times New Roman" w:eastAsia="仿宋_GB2312" w:cs="Times New Roman"/>
          <w:sz w:val="28"/>
          <w:szCs w:val="28"/>
          <w:lang w:eastAsia="zh-CN"/>
        </w:rPr>
        <w:t>金寨县生活污水处理厂及污水管网一体化项目EPC工程项目小区污水管网疏通专业分包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57A3B34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工程地点：【</w:t>
      </w:r>
      <w:r>
        <w:rPr>
          <w:rFonts w:hint="eastAsia" w:ascii="Times New Roman" w:hAnsi="Times New Roman" w:eastAsia="仿宋_GB2312" w:cs="Times New Roman"/>
          <w:sz w:val="28"/>
          <w:szCs w:val="28"/>
          <w:lang w:val="en-US" w:eastAsia="zh-CN"/>
        </w:rPr>
        <w:t>安徽省六安市金寨县</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612862C6">
      <w:pPr>
        <w:keepNext w:val="0"/>
        <w:keepLines w:val="0"/>
        <w:pageBreakBefore w:val="0"/>
        <w:widowControl w:val="0"/>
        <w:kinsoku/>
        <w:wordWrap/>
        <w:overflowPunct/>
        <w:topLinePunct w:val="0"/>
        <w:bidi w:val="0"/>
        <w:snapToGrid/>
        <w:spacing w:line="480" w:lineRule="exact"/>
        <w:ind w:left="1959" w:leftChars="266" w:right="0" w:hanging="1400" w:hangingChars="5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工程内容：【</w:t>
      </w:r>
      <w:r>
        <w:rPr>
          <w:rFonts w:hint="eastAsia" w:ascii="Times New Roman" w:hAnsi="Times New Roman" w:eastAsia="仿宋_GB2312" w:cs="Times New Roman"/>
          <w:sz w:val="28"/>
          <w:szCs w:val="28"/>
          <w:lang w:val="en-US" w:eastAsia="zh-CN"/>
        </w:rPr>
        <w:t>包括但不限于惠民家园、思源雅苑、凤城管道检查井检测、更换检查井井盖、更换</w:t>
      </w:r>
      <w:r>
        <w:rPr>
          <w:rFonts w:hint="eastAsia" w:ascii="Times New Roman" w:hAnsi="Times New Roman" w:eastAsia="仿宋_GB2312" w:cs="Times New Roman"/>
          <w:sz w:val="28"/>
          <w:szCs w:val="28"/>
          <w:lang w:val="en-US" w:eastAsia="zh-CN"/>
        </w:rPr>
        <w:t>雨水井井箅、</w:t>
      </w:r>
      <w:r>
        <w:rPr>
          <w:rFonts w:hint="eastAsia" w:ascii="Times New Roman" w:hAnsi="Times New Roman" w:eastAsia="仿宋_GB2312" w:cs="Times New Roman"/>
          <w:sz w:val="28"/>
          <w:szCs w:val="28"/>
          <w:lang w:val="en-US" w:eastAsia="zh-CN"/>
        </w:rPr>
        <w:t>检查井提升、立管排查、化粪池清淤、应急维修等，详见工程量清单</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7A772CC6">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承包方式：【</w:t>
      </w:r>
      <w:r>
        <w:rPr>
          <w:rFonts w:hint="default" w:ascii="Times New Roman" w:hAnsi="Times New Roman" w:eastAsia="仿宋_GB2312" w:cs="Times New Roman"/>
          <w:sz w:val="28"/>
          <w:szCs w:val="28"/>
          <w:lang w:val="en-US" w:eastAsia="zh-CN"/>
        </w:rPr>
        <w:t>专业分包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14:paraId="05769879">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5.合同形式：【固定综合单价】。</w:t>
      </w:r>
    </w:p>
    <w:p w14:paraId="14E1893A">
      <w:pPr>
        <w:keepNext w:val="0"/>
        <w:keepLines w:val="0"/>
        <w:pageBreakBefore w:val="0"/>
        <w:widowControl w:val="0"/>
        <w:kinsoku/>
        <w:wordWrap/>
        <w:overflowPunct/>
        <w:topLinePunct w:val="0"/>
        <w:bidi w:val="0"/>
        <w:snapToGrid/>
        <w:spacing w:line="480" w:lineRule="exact"/>
        <w:ind w:right="0"/>
        <w:textAlignment w:val="auto"/>
        <w:rPr>
          <w:rFonts w:hint="eastAsia" w:ascii="仿宋_GB2312" w:hAnsi="仿宋_GB2312" w:eastAsia="仿宋_GB2312" w:cs="仿宋_GB2312"/>
          <w:b w:val="0"/>
          <w:bCs w:val="0"/>
          <w:sz w:val="28"/>
          <w:szCs w:val="28"/>
          <w:lang w:val="en-US" w:eastAsia="zh-CN"/>
        </w:rPr>
      </w:pPr>
      <w:r>
        <w:rPr>
          <w:rFonts w:hint="default" w:ascii="Times New Roman" w:hAnsi="Times New Roman" w:eastAsia="黑体" w:cs="Times New Roman"/>
          <w:sz w:val="28"/>
          <w:szCs w:val="28"/>
        </w:rPr>
        <w:t>二、合同价款及材料要求，详见下表</w:t>
      </w:r>
    </w:p>
    <w:tbl>
      <w:tblPr>
        <w:tblStyle w:val="6"/>
        <w:tblW w:w="5691"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19"/>
        <w:gridCol w:w="928"/>
        <w:gridCol w:w="1903"/>
        <w:gridCol w:w="709"/>
        <w:gridCol w:w="709"/>
        <w:gridCol w:w="986"/>
        <w:gridCol w:w="986"/>
        <w:gridCol w:w="986"/>
        <w:gridCol w:w="986"/>
        <w:gridCol w:w="1101"/>
      </w:tblGrid>
      <w:tr w14:paraId="3A7183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5" w:hRule="atLeast"/>
          <w:jc w:val="center"/>
        </w:trPr>
        <w:tc>
          <w:tcPr>
            <w:tcW w:w="264" w:type="pct"/>
            <w:noWrap/>
            <w:vAlign w:val="center"/>
          </w:tcPr>
          <w:p w14:paraId="635FD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序号</w:t>
            </w:r>
          </w:p>
        </w:tc>
        <w:tc>
          <w:tcPr>
            <w:tcW w:w="472" w:type="pct"/>
            <w:noWrap w:val="0"/>
            <w:vAlign w:val="center"/>
          </w:tcPr>
          <w:p w14:paraId="7C57B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w:t>
            </w:r>
          </w:p>
          <w:p w14:paraId="319CC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名称</w:t>
            </w:r>
          </w:p>
        </w:tc>
        <w:tc>
          <w:tcPr>
            <w:tcW w:w="969" w:type="pct"/>
            <w:noWrap w:val="0"/>
            <w:vAlign w:val="center"/>
          </w:tcPr>
          <w:p w14:paraId="187FA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项目特征描述</w:t>
            </w:r>
          </w:p>
        </w:tc>
        <w:tc>
          <w:tcPr>
            <w:tcW w:w="361" w:type="pct"/>
            <w:noWrap w:val="0"/>
            <w:vAlign w:val="center"/>
          </w:tcPr>
          <w:p w14:paraId="509CB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计量单位</w:t>
            </w:r>
          </w:p>
        </w:tc>
        <w:tc>
          <w:tcPr>
            <w:tcW w:w="361" w:type="pct"/>
            <w:noWrap w:val="0"/>
            <w:vAlign w:val="center"/>
          </w:tcPr>
          <w:p w14:paraId="16381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拟定工程量</w:t>
            </w:r>
          </w:p>
        </w:tc>
        <w:tc>
          <w:tcPr>
            <w:tcW w:w="502" w:type="pct"/>
            <w:noWrap w:val="0"/>
            <w:vAlign w:val="center"/>
          </w:tcPr>
          <w:p w14:paraId="34FD7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不含税单价</w:t>
            </w:r>
          </w:p>
          <w:p w14:paraId="2BECC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02" w:type="pct"/>
            <w:noWrap w:val="0"/>
            <w:vAlign w:val="center"/>
          </w:tcPr>
          <w:p w14:paraId="72437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14:paraId="388B1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单价</w:t>
            </w:r>
          </w:p>
          <w:p w14:paraId="046CF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02" w:type="pct"/>
            <w:noWrap w:val="0"/>
            <w:vAlign w:val="center"/>
          </w:tcPr>
          <w:p w14:paraId="52B9C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不含税</w:t>
            </w:r>
          </w:p>
          <w:p w14:paraId="574C9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14:paraId="632BD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02" w:type="pct"/>
            <w:noWrap w:val="0"/>
            <w:vAlign w:val="center"/>
          </w:tcPr>
          <w:p w14:paraId="16A8D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含税</w:t>
            </w:r>
          </w:p>
          <w:p w14:paraId="0750A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总价</w:t>
            </w:r>
          </w:p>
          <w:p w14:paraId="73E86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（元）</w:t>
            </w:r>
          </w:p>
        </w:tc>
        <w:tc>
          <w:tcPr>
            <w:tcW w:w="560" w:type="pct"/>
            <w:noWrap w:val="0"/>
            <w:vAlign w:val="center"/>
          </w:tcPr>
          <w:p w14:paraId="2578E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2"/>
                <w:szCs w:val="22"/>
                <w:u w:val="none"/>
                <w:lang w:val="en-US" w:eastAsia="zh-CN" w:bidi="ar"/>
              </w:rPr>
            </w:pPr>
            <w:r>
              <w:rPr>
                <w:rFonts w:hint="default" w:ascii="Times New Roman" w:hAnsi="Times New Roman" w:eastAsia="黑体" w:cs="Times New Roman"/>
                <w:b/>
                <w:bCs/>
                <w:i w:val="0"/>
                <w:iCs w:val="0"/>
                <w:color w:val="000000"/>
                <w:kern w:val="0"/>
                <w:sz w:val="22"/>
                <w:szCs w:val="22"/>
                <w:u w:val="none"/>
                <w:lang w:val="en-US" w:eastAsia="zh-CN" w:bidi="ar"/>
              </w:rPr>
              <w:t>备注</w:t>
            </w:r>
          </w:p>
        </w:tc>
      </w:tr>
      <w:tr w14:paraId="624C02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264" w:type="pct"/>
            <w:noWrap/>
            <w:vAlign w:val="center"/>
          </w:tcPr>
          <w:p w14:paraId="07E902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72" w:type="pct"/>
            <w:noWrap/>
            <w:vAlign w:val="center"/>
          </w:tcPr>
          <w:p w14:paraId="73D67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管道检查井检测</w:t>
            </w:r>
          </w:p>
        </w:tc>
        <w:tc>
          <w:tcPr>
            <w:tcW w:w="969" w:type="pct"/>
            <w:noWrap/>
            <w:vAlign w:val="center"/>
          </w:tcPr>
          <w:p w14:paraId="125D3B9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宋体" w:hAnsi="宋体" w:eastAsia="宋体" w:cs="宋体"/>
                <w:i w:val="0"/>
                <w:iCs w:val="0"/>
                <w:color w:val="000000"/>
                <w:kern w:val="0"/>
                <w:sz w:val="11"/>
                <w:szCs w:val="11"/>
                <w:u w:val="none"/>
                <w:lang w:val="en-US" w:eastAsia="zh-CN" w:bidi="ar"/>
              </w:rPr>
              <w:t>1．部位：惠民家园</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2．管径：dn160-dn600mm</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3．检测方式：CCTV管道检测</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4．管道规格、堵塞情况：投标人根据现场自行了解综合管网管径、淤泥及垃圾阻塞情况</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5．管道实施内容：包括但不限于气囊封堵、管道疏通清淤、清渣，管道通风、降排水、疏通、清洗、淤泥外运等一切费用，投标企业投标前需实地详细勘探现场后进行合理报价</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6．井实施内容：管道之间连接的检查井、雨水篦子等降排水、疏通、清洗、淤泥外运等一切费用，投标企业投标前需实地详细勘探现场后进行合理报价</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7．测绘出具CAD管线图纸</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8．注意事项：管道及检查井淤泥清理完成后需通过CCTV保留影像资料</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9．其他：未尽事宜参见施工规范、招标文件及答疑等相关文件要求</w:t>
            </w:r>
          </w:p>
        </w:tc>
        <w:tc>
          <w:tcPr>
            <w:tcW w:w="709" w:type="dxa"/>
            <w:noWrap w:val="0"/>
            <w:vAlign w:val="center"/>
          </w:tcPr>
          <w:p w14:paraId="60F521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m</w:t>
            </w:r>
          </w:p>
        </w:tc>
        <w:tc>
          <w:tcPr>
            <w:tcW w:w="709" w:type="dxa"/>
            <w:noWrap/>
            <w:vAlign w:val="center"/>
          </w:tcPr>
          <w:p w14:paraId="04A67C5B">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9000</w:t>
            </w:r>
          </w:p>
        </w:tc>
        <w:tc>
          <w:tcPr>
            <w:tcW w:w="986" w:type="dxa"/>
            <w:noWrap/>
            <w:vAlign w:val="center"/>
          </w:tcPr>
          <w:p w14:paraId="6CA26E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35.66 </w:t>
            </w:r>
          </w:p>
        </w:tc>
        <w:tc>
          <w:tcPr>
            <w:tcW w:w="502" w:type="pct"/>
            <w:noWrap/>
            <w:vAlign w:val="center"/>
          </w:tcPr>
          <w:p w14:paraId="16A829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38.87</w:t>
            </w:r>
          </w:p>
        </w:tc>
        <w:tc>
          <w:tcPr>
            <w:tcW w:w="986" w:type="dxa"/>
            <w:noWrap w:val="0"/>
            <w:vAlign w:val="center"/>
          </w:tcPr>
          <w:p w14:paraId="032B86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 xml:space="preserve">320,918.53 </w:t>
            </w:r>
          </w:p>
        </w:tc>
        <w:tc>
          <w:tcPr>
            <w:tcW w:w="986" w:type="dxa"/>
            <w:noWrap w:val="0"/>
            <w:vAlign w:val="center"/>
          </w:tcPr>
          <w:p w14:paraId="4CE00A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 xml:space="preserve">349,801.20 </w:t>
            </w:r>
          </w:p>
        </w:tc>
        <w:tc>
          <w:tcPr>
            <w:tcW w:w="560" w:type="pct"/>
            <w:noWrap w:val="0"/>
            <w:vAlign w:val="center"/>
          </w:tcPr>
          <w:p w14:paraId="3FCFB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14:paraId="33DD71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264" w:type="pct"/>
            <w:noWrap/>
            <w:vAlign w:val="center"/>
          </w:tcPr>
          <w:p w14:paraId="71EDF9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w:t>
            </w:r>
          </w:p>
        </w:tc>
        <w:tc>
          <w:tcPr>
            <w:tcW w:w="472" w:type="pct"/>
            <w:noWrap/>
            <w:vAlign w:val="center"/>
          </w:tcPr>
          <w:p w14:paraId="267C1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管道检查井检测</w:t>
            </w:r>
          </w:p>
        </w:tc>
        <w:tc>
          <w:tcPr>
            <w:tcW w:w="969" w:type="pct"/>
            <w:noWrap/>
            <w:vAlign w:val="center"/>
          </w:tcPr>
          <w:p w14:paraId="4511447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宋体" w:hAnsi="宋体" w:eastAsia="宋体" w:cs="宋体"/>
                <w:i w:val="0"/>
                <w:iCs w:val="0"/>
                <w:color w:val="000000"/>
                <w:kern w:val="0"/>
                <w:sz w:val="11"/>
                <w:szCs w:val="11"/>
                <w:u w:val="none"/>
                <w:lang w:val="en-US" w:eastAsia="zh-CN" w:bidi="ar"/>
              </w:rPr>
              <w:t>1．部位：思源雅苑</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2．管径：dn160-dn600mm</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3．检测方式：CCTV管道检测</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4．管道规格、堵塞情况：投标人根据现场自行了解综合管网管径、淤泥及垃圾阻塞情况</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5．管道实施内容：包括但不限于气囊封堵、管道疏通清淤、清渣，管道通风、降排水、疏通、清洗、淤泥外运等一切费用，投标企业投标前需实地详细勘探现场后进行合理报价</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6．井实施内容：管道之间连接的检查井、雨水篦子等降排水、疏通、清洗、淤泥外运等一切费用，投标企业投标前需实地详细勘探现场后进行合理报价</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7．测绘出具CAD管线图纸</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8．注意事项：管道及检查井淤泥清理完成后需通过CCTV保留影像资料</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9．其他：未尽事宜参见施工规范、招标文件及答疑等相关文件要求</w:t>
            </w:r>
          </w:p>
        </w:tc>
        <w:tc>
          <w:tcPr>
            <w:tcW w:w="709" w:type="dxa"/>
            <w:noWrap w:val="0"/>
            <w:vAlign w:val="center"/>
          </w:tcPr>
          <w:p w14:paraId="4C80A9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w:t>
            </w:r>
          </w:p>
        </w:tc>
        <w:tc>
          <w:tcPr>
            <w:tcW w:w="709" w:type="dxa"/>
            <w:noWrap/>
            <w:vAlign w:val="center"/>
          </w:tcPr>
          <w:p w14:paraId="262EEC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8100</w:t>
            </w:r>
          </w:p>
        </w:tc>
        <w:tc>
          <w:tcPr>
            <w:tcW w:w="986" w:type="dxa"/>
            <w:noWrap/>
            <w:vAlign w:val="center"/>
          </w:tcPr>
          <w:p w14:paraId="562864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35.66 </w:t>
            </w:r>
          </w:p>
        </w:tc>
        <w:tc>
          <w:tcPr>
            <w:tcW w:w="502" w:type="pct"/>
            <w:noWrap/>
            <w:vAlign w:val="center"/>
          </w:tcPr>
          <w:p w14:paraId="171200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38.87</w:t>
            </w:r>
          </w:p>
        </w:tc>
        <w:tc>
          <w:tcPr>
            <w:tcW w:w="986" w:type="dxa"/>
            <w:noWrap w:val="0"/>
            <w:vAlign w:val="center"/>
          </w:tcPr>
          <w:p w14:paraId="4D321D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 xml:space="preserve">288,826.68 </w:t>
            </w:r>
          </w:p>
        </w:tc>
        <w:tc>
          <w:tcPr>
            <w:tcW w:w="986" w:type="dxa"/>
            <w:noWrap w:val="0"/>
            <w:vAlign w:val="center"/>
          </w:tcPr>
          <w:p w14:paraId="465BAA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 xml:space="preserve">314,821.08 </w:t>
            </w:r>
          </w:p>
        </w:tc>
        <w:tc>
          <w:tcPr>
            <w:tcW w:w="560" w:type="pct"/>
            <w:noWrap w:val="0"/>
            <w:vAlign w:val="center"/>
          </w:tcPr>
          <w:p w14:paraId="4BC61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14:paraId="5C6405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264" w:type="pct"/>
            <w:noWrap/>
            <w:vAlign w:val="center"/>
          </w:tcPr>
          <w:p w14:paraId="3CFD3F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3</w:t>
            </w:r>
          </w:p>
        </w:tc>
        <w:tc>
          <w:tcPr>
            <w:tcW w:w="472" w:type="pct"/>
            <w:noWrap/>
            <w:vAlign w:val="center"/>
          </w:tcPr>
          <w:p w14:paraId="59DD4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管道检查井检测</w:t>
            </w:r>
          </w:p>
        </w:tc>
        <w:tc>
          <w:tcPr>
            <w:tcW w:w="969" w:type="pct"/>
            <w:noWrap/>
            <w:vAlign w:val="center"/>
          </w:tcPr>
          <w:p w14:paraId="429CC37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宋体" w:hAnsi="宋体" w:eastAsia="宋体" w:cs="宋体"/>
                <w:i w:val="0"/>
                <w:iCs w:val="0"/>
                <w:color w:val="000000"/>
                <w:kern w:val="0"/>
                <w:sz w:val="11"/>
                <w:szCs w:val="11"/>
                <w:u w:val="none"/>
                <w:lang w:val="en-US" w:eastAsia="zh-CN" w:bidi="ar"/>
              </w:rPr>
              <w:t>1．部位：凤城</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2．管径：dn160-dn600mm</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3．检测方式：CCTV管道检测</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4．管道规格、堵塞情况：投标人根据现场自行了解综合管网管径、淤泥及垃圾阻塞情况</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5．管道实施内容：包括但不限于气囊封堵、管道疏通清淤、清渣，管道通风、降排水、疏通、清洗、淤泥外运等一切费用，投标企业投标前需实地详细勘探现场后进行合理报价</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6．井实施内容：管道之间连接的检查井、雨水篦子等降排水、疏通、清洗、淤泥外运等一切费用，投标企业投标前需实地详细勘探现场后进行合理报价</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7．测绘出具CAD管线图纸</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8．注意事项：管道及检查井淤泥清理完成后需通过CCTV保留影像资料</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9．其他：未尽事宜参见施工规范、招标文件及答疑等相关文件要求</w:t>
            </w:r>
          </w:p>
        </w:tc>
        <w:tc>
          <w:tcPr>
            <w:tcW w:w="709" w:type="dxa"/>
            <w:noWrap w:val="0"/>
            <w:vAlign w:val="center"/>
          </w:tcPr>
          <w:p w14:paraId="134193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w:t>
            </w:r>
          </w:p>
        </w:tc>
        <w:tc>
          <w:tcPr>
            <w:tcW w:w="709" w:type="dxa"/>
            <w:noWrap/>
            <w:vAlign w:val="center"/>
          </w:tcPr>
          <w:p w14:paraId="7A3852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8500</w:t>
            </w:r>
          </w:p>
        </w:tc>
        <w:tc>
          <w:tcPr>
            <w:tcW w:w="986" w:type="dxa"/>
            <w:noWrap/>
            <w:vAlign w:val="center"/>
          </w:tcPr>
          <w:p w14:paraId="0D3ACC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39.11 </w:t>
            </w:r>
          </w:p>
        </w:tc>
        <w:tc>
          <w:tcPr>
            <w:tcW w:w="502" w:type="pct"/>
            <w:noWrap/>
            <w:vAlign w:val="center"/>
          </w:tcPr>
          <w:p w14:paraId="38C0BD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42.63</w:t>
            </w:r>
          </w:p>
        </w:tc>
        <w:tc>
          <w:tcPr>
            <w:tcW w:w="986" w:type="dxa"/>
            <w:noWrap w:val="0"/>
            <w:vAlign w:val="center"/>
          </w:tcPr>
          <w:p w14:paraId="0E2401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 xml:space="preserve">332,435.78 </w:t>
            </w:r>
          </w:p>
        </w:tc>
        <w:tc>
          <w:tcPr>
            <w:tcW w:w="986" w:type="dxa"/>
            <w:noWrap w:val="0"/>
            <w:vAlign w:val="center"/>
          </w:tcPr>
          <w:p w14:paraId="55DF90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 xml:space="preserve">362,355.00 </w:t>
            </w:r>
          </w:p>
        </w:tc>
        <w:tc>
          <w:tcPr>
            <w:tcW w:w="560" w:type="pct"/>
            <w:noWrap w:val="0"/>
            <w:vAlign w:val="center"/>
          </w:tcPr>
          <w:p w14:paraId="542D1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14:paraId="589933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264" w:type="pct"/>
            <w:noWrap/>
            <w:vAlign w:val="center"/>
          </w:tcPr>
          <w:p w14:paraId="5397A0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4</w:t>
            </w:r>
          </w:p>
        </w:tc>
        <w:tc>
          <w:tcPr>
            <w:tcW w:w="472" w:type="pct"/>
            <w:noWrap/>
            <w:vAlign w:val="center"/>
          </w:tcPr>
          <w:p w14:paraId="00DC2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更换检查井井盖、座</w:t>
            </w:r>
          </w:p>
        </w:tc>
        <w:tc>
          <w:tcPr>
            <w:tcW w:w="969" w:type="pct"/>
            <w:noWrap/>
            <w:vAlign w:val="center"/>
          </w:tcPr>
          <w:p w14:paraId="4A406A0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1"/>
                <w:szCs w:val="11"/>
                <w:u w:val="none"/>
                <w:lang w:val="en-US" w:eastAsia="zh-CN" w:bidi="ar"/>
              </w:rPr>
              <w:t>1．规格型号：φ700mm</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2．材质：重型球墨铸铁井盖（五防）</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3．实施内容：拆除旧井盖、凿除井圈及周边砼地面、修复井圈及损坏部位、浇筑周边C30砼地面、安装井盖及防坠网、清理垃圾、垃圾外运等一切费用，投标企业投标前需实地详细勘探现场后进行合理报价</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4．其他：未尽事宜参见施工规范、招标文件及答疑等相关文件要求</w:t>
            </w:r>
          </w:p>
        </w:tc>
        <w:tc>
          <w:tcPr>
            <w:tcW w:w="709" w:type="dxa"/>
            <w:noWrap w:val="0"/>
            <w:vAlign w:val="center"/>
          </w:tcPr>
          <w:p w14:paraId="4873EA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座</w:t>
            </w:r>
          </w:p>
        </w:tc>
        <w:tc>
          <w:tcPr>
            <w:tcW w:w="709" w:type="dxa"/>
            <w:noWrap/>
            <w:vAlign w:val="center"/>
          </w:tcPr>
          <w:p w14:paraId="37BC2C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50</w:t>
            </w:r>
          </w:p>
        </w:tc>
        <w:tc>
          <w:tcPr>
            <w:tcW w:w="986" w:type="dxa"/>
            <w:noWrap/>
            <w:vAlign w:val="center"/>
          </w:tcPr>
          <w:p w14:paraId="5776F8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1,025.94 </w:t>
            </w:r>
          </w:p>
        </w:tc>
        <w:tc>
          <w:tcPr>
            <w:tcW w:w="502" w:type="pct"/>
            <w:noWrap/>
            <w:vAlign w:val="center"/>
          </w:tcPr>
          <w:p w14:paraId="162D4C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1118.27</w:t>
            </w:r>
          </w:p>
        </w:tc>
        <w:tc>
          <w:tcPr>
            <w:tcW w:w="986" w:type="dxa"/>
            <w:noWrap w:val="0"/>
            <w:vAlign w:val="center"/>
          </w:tcPr>
          <w:p w14:paraId="25E82B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51,296.71 </w:t>
            </w:r>
          </w:p>
        </w:tc>
        <w:tc>
          <w:tcPr>
            <w:tcW w:w="986" w:type="dxa"/>
            <w:noWrap w:val="0"/>
            <w:vAlign w:val="center"/>
          </w:tcPr>
          <w:p w14:paraId="5FE124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55,913.41 </w:t>
            </w:r>
          </w:p>
        </w:tc>
        <w:tc>
          <w:tcPr>
            <w:tcW w:w="560" w:type="pct"/>
            <w:noWrap w:val="0"/>
            <w:vAlign w:val="center"/>
          </w:tcPr>
          <w:p w14:paraId="7D5A0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14:paraId="7CBCF6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264" w:type="pct"/>
            <w:noWrap/>
            <w:vAlign w:val="center"/>
          </w:tcPr>
          <w:p w14:paraId="49B69E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5</w:t>
            </w:r>
          </w:p>
        </w:tc>
        <w:tc>
          <w:tcPr>
            <w:tcW w:w="472" w:type="pct"/>
            <w:noWrap/>
            <w:vAlign w:val="center"/>
          </w:tcPr>
          <w:p w14:paraId="3D55F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更换雨水井井箅</w:t>
            </w:r>
          </w:p>
        </w:tc>
        <w:tc>
          <w:tcPr>
            <w:tcW w:w="969" w:type="pct"/>
            <w:noWrap/>
            <w:vAlign w:val="center"/>
          </w:tcPr>
          <w:p w14:paraId="60AF05A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1"/>
                <w:szCs w:val="11"/>
                <w:u w:val="none"/>
                <w:lang w:val="en-US" w:eastAsia="zh-CN" w:bidi="ar"/>
              </w:rPr>
              <w:t>1．雨水井井箅规格型号：600mm*400mm</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2．材质：球墨铸铁雨水篦</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3．实施内容：拆除旧井盖、凿除井圈及周边砼地面、修复井圈及损坏部位、浇筑周边C30砼地面、安装井盖、清理垃圾、垃圾外运等一切费用，投标企业投标前需实地详细勘探现场后进行合理报价</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4．其他：未尽事宜参见施工规范、招标文件及答疑等相关文件要求</w:t>
            </w:r>
          </w:p>
        </w:tc>
        <w:tc>
          <w:tcPr>
            <w:tcW w:w="709" w:type="dxa"/>
            <w:noWrap w:val="0"/>
            <w:vAlign w:val="center"/>
          </w:tcPr>
          <w:p w14:paraId="3929FB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座</w:t>
            </w:r>
          </w:p>
        </w:tc>
        <w:tc>
          <w:tcPr>
            <w:tcW w:w="709" w:type="dxa"/>
            <w:noWrap/>
            <w:vAlign w:val="center"/>
          </w:tcPr>
          <w:p w14:paraId="12B05A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70</w:t>
            </w:r>
          </w:p>
        </w:tc>
        <w:tc>
          <w:tcPr>
            <w:tcW w:w="986" w:type="dxa"/>
            <w:noWrap/>
            <w:vAlign w:val="center"/>
          </w:tcPr>
          <w:p w14:paraId="25A72F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639.35 </w:t>
            </w:r>
          </w:p>
        </w:tc>
        <w:tc>
          <w:tcPr>
            <w:tcW w:w="502" w:type="pct"/>
            <w:noWrap/>
            <w:vAlign w:val="center"/>
          </w:tcPr>
          <w:p w14:paraId="6DB3B6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696.89</w:t>
            </w:r>
          </w:p>
        </w:tc>
        <w:tc>
          <w:tcPr>
            <w:tcW w:w="986" w:type="dxa"/>
            <w:noWrap w:val="0"/>
            <w:vAlign w:val="center"/>
          </w:tcPr>
          <w:p w14:paraId="203603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44,754.27 </w:t>
            </w:r>
          </w:p>
        </w:tc>
        <w:tc>
          <w:tcPr>
            <w:tcW w:w="986" w:type="dxa"/>
            <w:noWrap w:val="0"/>
            <w:vAlign w:val="center"/>
          </w:tcPr>
          <w:p w14:paraId="7B3DA6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48,782.15 </w:t>
            </w:r>
          </w:p>
        </w:tc>
        <w:tc>
          <w:tcPr>
            <w:tcW w:w="560" w:type="pct"/>
            <w:noWrap w:val="0"/>
            <w:vAlign w:val="center"/>
          </w:tcPr>
          <w:p w14:paraId="205BD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14:paraId="0C871C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264" w:type="pct"/>
            <w:noWrap/>
            <w:vAlign w:val="center"/>
          </w:tcPr>
          <w:p w14:paraId="733FA7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6</w:t>
            </w:r>
          </w:p>
        </w:tc>
        <w:tc>
          <w:tcPr>
            <w:tcW w:w="472" w:type="pct"/>
            <w:noWrap/>
            <w:vAlign w:val="center"/>
          </w:tcPr>
          <w:p w14:paraId="1BDBA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检查井提升</w:t>
            </w:r>
          </w:p>
        </w:tc>
        <w:tc>
          <w:tcPr>
            <w:tcW w:w="969" w:type="pct"/>
            <w:noWrap/>
            <w:vAlign w:val="center"/>
          </w:tcPr>
          <w:p w14:paraId="58073ED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宋体" w:hAnsi="宋体" w:eastAsia="宋体" w:cs="宋体"/>
                <w:i w:val="0"/>
                <w:iCs w:val="0"/>
                <w:color w:val="000000"/>
                <w:kern w:val="0"/>
                <w:sz w:val="11"/>
                <w:szCs w:val="11"/>
                <w:u w:val="none"/>
                <w:lang w:val="en-US" w:eastAsia="zh-CN" w:bidi="ar"/>
              </w:rPr>
              <w:t>1．砖品种、规格、强度级：MU15砖200mm*115mm*53mm</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2．提升高度：30cm-60cm</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3．实施内容：拆除旧井盖、修复井圈及损坏部位、砖砌井口抬高、安装旧井盖、清理垃圾、垃圾外运等一切费用，投标企业投标前需实地详细勘探现场后进行合理报价</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4．其他：未尽事宜参见施工规范、招标文件及答疑等相关文件要求</w:t>
            </w:r>
          </w:p>
        </w:tc>
        <w:tc>
          <w:tcPr>
            <w:tcW w:w="709" w:type="dxa"/>
            <w:noWrap w:val="0"/>
            <w:vAlign w:val="center"/>
          </w:tcPr>
          <w:p w14:paraId="03B741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座</w:t>
            </w:r>
          </w:p>
        </w:tc>
        <w:tc>
          <w:tcPr>
            <w:tcW w:w="709" w:type="dxa"/>
            <w:noWrap/>
            <w:vAlign w:val="center"/>
          </w:tcPr>
          <w:p w14:paraId="6FEE1B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w:t>
            </w:r>
          </w:p>
        </w:tc>
        <w:tc>
          <w:tcPr>
            <w:tcW w:w="986" w:type="dxa"/>
            <w:noWrap/>
            <w:vAlign w:val="center"/>
          </w:tcPr>
          <w:p w14:paraId="798C00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666.12 </w:t>
            </w:r>
          </w:p>
        </w:tc>
        <w:tc>
          <w:tcPr>
            <w:tcW w:w="502" w:type="pct"/>
            <w:noWrap/>
            <w:vAlign w:val="center"/>
          </w:tcPr>
          <w:p w14:paraId="2CD869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726.07</w:t>
            </w:r>
          </w:p>
        </w:tc>
        <w:tc>
          <w:tcPr>
            <w:tcW w:w="986" w:type="dxa"/>
            <w:noWrap w:val="0"/>
            <w:vAlign w:val="center"/>
          </w:tcPr>
          <w:p w14:paraId="1C9DEF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66,612.13 </w:t>
            </w:r>
          </w:p>
        </w:tc>
        <w:tc>
          <w:tcPr>
            <w:tcW w:w="986" w:type="dxa"/>
            <w:noWrap w:val="0"/>
            <w:vAlign w:val="center"/>
          </w:tcPr>
          <w:p w14:paraId="71F39B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72,607.22 </w:t>
            </w:r>
          </w:p>
        </w:tc>
        <w:tc>
          <w:tcPr>
            <w:tcW w:w="560" w:type="pct"/>
            <w:noWrap w:val="0"/>
            <w:vAlign w:val="center"/>
          </w:tcPr>
          <w:p w14:paraId="31C39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14:paraId="6104B2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264" w:type="pct"/>
            <w:noWrap/>
            <w:vAlign w:val="center"/>
          </w:tcPr>
          <w:p w14:paraId="55865E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7</w:t>
            </w:r>
          </w:p>
        </w:tc>
        <w:tc>
          <w:tcPr>
            <w:tcW w:w="472" w:type="pct"/>
            <w:noWrap/>
            <w:vAlign w:val="center"/>
          </w:tcPr>
          <w:p w14:paraId="16F8E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立管排查</w:t>
            </w:r>
          </w:p>
        </w:tc>
        <w:tc>
          <w:tcPr>
            <w:tcW w:w="969" w:type="pct"/>
            <w:noWrap/>
            <w:vAlign w:val="center"/>
          </w:tcPr>
          <w:p w14:paraId="3A2EF55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宋体" w:hAnsi="宋体" w:eastAsia="宋体" w:cs="宋体"/>
                <w:i w:val="0"/>
                <w:iCs w:val="0"/>
                <w:color w:val="000000"/>
                <w:kern w:val="0"/>
                <w:sz w:val="11"/>
                <w:szCs w:val="11"/>
                <w:u w:val="none"/>
                <w:lang w:val="en-US" w:eastAsia="zh-CN" w:bidi="ar"/>
              </w:rPr>
              <w:t>1．名称：立管排查</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2．其他：未尽事宜参见施工规范、招标文件及答疑等相关文件要求</w:t>
            </w:r>
          </w:p>
        </w:tc>
        <w:tc>
          <w:tcPr>
            <w:tcW w:w="709" w:type="dxa"/>
            <w:noWrap w:val="0"/>
            <w:vAlign w:val="center"/>
          </w:tcPr>
          <w:p w14:paraId="29D01B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709" w:type="dxa"/>
            <w:noWrap/>
            <w:vAlign w:val="center"/>
          </w:tcPr>
          <w:p w14:paraId="45444A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6" w:type="dxa"/>
            <w:noWrap/>
            <w:vAlign w:val="center"/>
          </w:tcPr>
          <w:p w14:paraId="1A5FB9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9,845.48 </w:t>
            </w:r>
          </w:p>
        </w:tc>
        <w:tc>
          <w:tcPr>
            <w:tcW w:w="502" w:type="pct"/>
            <w:noWrap/>
            <w:vAlign w:val="center"/>
          </w:tcPr>
          <w:p w14:paraId="358DAD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10731.57</w:t>
            </w:r>
          </w:p>
        </w:tc>
        <w:tc>
          <w:tcPr>
            <w:tcW w:w="986" w:type="dxa"/>
            <w:noWrap w:val="0"/>
            <w:vAlign w:val="center"/>
          </w:tcPr>
          <w:p w14:paraId="4AFC53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9,845.48 </w:t>
            </w:r>
          </w:p>
        </w:tc>
        <w:tc>
          <w:tcPr>
            <w:tcW w:w="986" w:type="dxa"/>
            <w:noWrap w:val="0"/>
            <w:vAlign w:val="center"/>
          </w:tcPr>
          <w:p w14:paraId="6042A2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10,731.57 </w:t>
            </w:r>
          </w:p>
        </w:tc>
        <w:tc>
          <w:tcPr>
            <w:tcW w:w="560" w:type="pct"/>
            <w:noWrap w:val="0"/>
            <w:vAlign w:val="center"/>
          </w:tcPr>
          <w:p w14:paraId="51BE6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14:paraId="0C475C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264" w:type="pct"/>
            <w:noWrap/>
            <w:vAlign w:val="center"/>
          </w:tcPr>
          <w:p w14:paraId="435003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8</w:t>
            </w:r>
          </w:p>
        </w:tc>
        <w:tc>
          <w:tcPr>
            <w:tcW w:w="472" w:type="pct"/>
            <w:noWrap/>
            <w:vAlign w:val="center"/>
          </w:tcPr>
          <w:p w14:paraId="07C3A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化粪池清淤</w:t>
            </w:r>
          </w:p>
        </w:tc>
        <w:tc>
          <w:tcPr>
            <w:tcW w:w="969" w:type="pct"/>
            <w:noWrap/>
            <w:vAlign w:val="center"/>
          </w:tcPr>
          <w:p w14:paraId="32976AC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宋体" w:hAnsi="宋体" w:eastAsia="宋体" w:cs="宋体"/>
                <w:i w:val="0"/>
                <w:iCs w:val="0"/>
                <w:color w:val="000000"/>
                <w:kern w:val="0"/>
                <w:sz w:val="11"/>
                <w:szCs w:val="11"/>
                <w:u w:val="none"/>
                <w:lang w:val="en-US" w:eastAsia="zh-CN" w:bidi="ar"/>
              </w:rPr>
              <w:t>1．名称：化粪池清淤</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2．实施内容：对化粪池进行清淤疏通、运送弃置等</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3．其他：未尽事宜参见施工规范、招标文件及答疑等相关文件要求</w:t>
            </w:r>
          </w:p>
        </w:tc>
        <w:tc>
          <w:tcPr>
            <w:tcW w:w="709" w:type="dxa"/>
            <w:noWrap w:val="0"/>
            <w:vAlign w:val="center"/>
          </w:tcPr>
          <w:p w14:paraId="456C2C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709" w:type="dxa"/>
            <w:noWrap/>
            <w:vAlign w:val="center"/>
          </w:tcPr>
          <w:p w14:paraId="78C620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6" w:type="dxa"/>
            <w:noWrap/>
            <w:vAlign w:val="center"/>
          </w:tcPr>
          <w:p w14:paraId="2CD60C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8,204.56 </w:t>
            </w:r>
          </w:p>
        </w:tc>
        <w:tc>
          <w:tcPr>
            <w:tcW w:w="502" w:type="pct"/>
            <w:noWrap/>
            <w:vAlign w:val="center"/>
          </w:tcPr>
          <w:p w14:paraId="113A04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8942.97</w:t>
            </w:r>
          </w:p>
        </w:tc>
        <w:tc>
          <w:tcPr>
            <w:tcW w:w="986" w:type="dxa"/>
            <w:noWrap w:val="0"/>
            <w:vAlign w:val="center"/>
          </w:tcPr>
          <w:p w14:paraId="397288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8,204.56 </w:t>
            </w:r>
          </w:p>
        </w:tc>
        <w:tc>
          <w:tcPr>
            <w:tcW w:w="986" w:type="dxa"/>
            <w:noWrap w:val="0"/>
            <w:vAlign w:val="center"/>
          </w:tcPr>
          <w:p w14:paraId="09FA5E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8,942.97 </w:t>
            </w:r>
          </w:p>
        </w:tc>
        <w:tc>
          <w:tcPr>
            <w:tcW w:w="560" w:type="pct"/>
            <w:noWrap w:val="0"/>
            <w:vAlign w:val="center"/>
          </w:tcPr>
          <w:p w14:paraId="066D7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14:paraId="6EE4B0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264" w:type="pct"/>
            <w:noWrap/>
            <w:vAlign w:val="center"/>
          </w:tcPr>
          <w:p w14:paraId="58FB5A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9</w:t>
            </w:r>
          </w:p>
        </w:tc>
        <w:tc>
          <w:tcPr>
            <w:tcW w:w="472" w:type="pct"/>
            <w:noWrap/>
            <w:vAlign w:val="center"/>
          </w:tcPr>
          <w:p w14:paraId="08D33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w:t>
            </w:r>
          </w:p>
          <w:p w14:paraId="09B47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维修</w:t>
            </w:r>
          </w:p>
        </w:tc>
        <w:tc>
          <w:tcPr>
            <w:tcW w:w="969" w:type="pct"/>
            <w:noWrap/>
            <w:vAlign w:val="center"/>
          </w:tcPr>
          <w:p w14:paraId="31CAD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宋体" w:hAnsi="宋体" w:eastAsia="宋体" w:cs="宋体"/>
                <w:i w:val="0"/>
                <w:iCs w:val="0"/>
                <w:color w:val="000000"/>
                <w:kern w:val="0"/>
                <w:sz w:val="11"/>
                <w:szCs w:val="11"/>
                <w:u w:val="none"/>
                <w:lang w:val="en-US" w:eastAsia="zh-CN" w:bidi="ar"/>
              </w:rPr>
              <w:t>1．实施内容：因管道和检查井清理、维修等原因对原有已建设完成的管道、绿化、道路、铺装造成不可避免的损坏所需的清理、修复、重新建设等费用</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2．注意事项：此项费用暂定，后期据实结算</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3．其他：未尽事宜参见施工规范、招标文件及答疑等相关文件要求</w:t>
            </w:r>
          </w:p>
        </w:tc>
        <w:tc>
          <w:tcPr>
            <w:tcW w:w="709" w:type="dxa"/>
            <w:noWrap w:val="0"/>
            <w:vAlign w:val="center"/>
          </w:tcPr>
          <w:p w14:paraId="01E350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709" w:type="dxa"/>
            <w:noWrap/>
            <w:vAlign w:val="center"/>
          </w:tcPr>
          <w:p w14:paraId="502821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6" w:type="dxa"/>
            <w:noWrap/>
            <w:vAlign w:val="center"/>
          </w:tcPr>
          <w:p w14:paraId="4B44BA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17,836.00 </w:t>
            </w:r>
          </w:p>
        </w:tc>
        <w:tc>
          <w:tcPr>
            <w:tcW w:w="502" w:type="pct"/>
            <w:noWrap/>
            <w:vAlign w:val="center"/>
          </w:tcPr>
          <w:p w14:paraId="6134FC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19441.24</w:t>
            </w:r>
          </w:p>
        </w:tc>
        <w:tc>
          <w:tcPr>
            <w:tcW w:w="986" w:type="dxa"/>
            <w:noWrap w:val="0"/>
            <w:vAlign w:val="center"/>
          </w:tcPr>
          <w:p w14:paraId="02DF01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17,836.00 </w:t>
            </w:r>
          </w:p>
        </w:tc>
        <w:tc>
          <w:tcPr>
            <w:tcW w:w="986" w:type="dxa"/>
            <w:noWrap w:val="0"/>
            <w:vAlign w:val="center"/>
          </w:tcPr>
          <w:p w14:paraId="643231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19,441.24 </w:t>
            </w:r>
          </w:p>
        </w:tc>
        <w:tc>
          <w:tcPr>
            <w:tcW w:w="560" w:type="pct"/>
            <w:noWrap w:val="0"/>
            <w:vAlign w:val="center"/>
          </w:tcPr>
          <w:p w14:paraId="17447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14:paraId="26C5BF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264" w:type="pct"/>
            <w:noWrap/>
            <w:vAlign w:val="center"/>
          </w:tcPr>
          <w:p w14:paraId="0A0BAE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w:t>
            </w:r>
          </w:p>
        </w:tc>
        <w:tc>
          <w:tcPr>
            <w:tcW w:w="472" w:type="pct"/>
            <w:noWrap/>
            <w:vAlign w:val="center"/>
          </w:tcPr>
          <w:p w14:paraId="4F968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其他措施费用</w:t>
            </w:r>
          </w:p>
        </w:tc>
        <w:tc>
          <w:tcPr>
            <w:tcW w:w="969" w:type="pct"/>
            <w:noWrap/>
            <w:vAlign w:val="center"/>
          </w:tcPr>
          <w:p w14:paraId="59B5F37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eastAsia" w:ascii="宋体" w:hAnsi="宋体" w:eastAsia="宋体" w:cs="宋体"/>
                <w:i w:val="0"/>
                <w:iCs w:val="0"/>
                <w:color w:val="000000"/>
                <w:kern w:val="0"/>
                <w:sz w:val="11"/>
                <w:szCs w:val="11"/>
                <w:u w:val="none"/>
                <w:lang w:val="en-US" w:eastAsia="zh-CN" w:bidi="ar"/>
              </w:rPr>
              <w:t>1．本工程所需的其他措施费用</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2．此项费用暂定，后期据实结算</w:t>
            </w:r>
          </w:p>
        </w:tc>
        <w:tc>
          <w:tcPr>
            <w:tcW w:w="709" w:type="dxa"/>
            <w:noWrap w:val="0"/>
            <w:vAlign w:val="center"/>
          </w:tcPr>
          <w:p w14:paraId="57E3A0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709" w:type="dxa"/>
            <w:noWrap/>
            <w:vAlign w:val="center"/>
          </w:tcPr>
          <w:p w14:paraId="1CCF21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86" w:type="dxa"/>
            <w:noWrap/>
            <w:vAlign w:val="center"/>
          </w:tcPr>
          <w:p w14:paraId="308D18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4,495.41 </w:t>
            </w:r>
          </w:p>
        </w:tc>
        <w:tc>
          <w:tcPr>
            <w:tcW w:w="502" w:type="pct"/>
            <w:noWrap/>
            <w:vAlign w:val="center"/>
          </w:tcPr>
          <w:p w14:paraId="621E65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cs="Times New Roman"/>
                <w:i w:val="0"/>
                <w:iCs w:val="0"/>
                <w:color w:val="000000"/>
                <w:kern w:val="0"/>
                <w:sz w:val="18"/>
                <w:szCs w:val="18"/>
                <w:u w:val="none"/>
                <w:lang w:val="en-US" w:eastAsia="zh-CN" w:bidi="ar"/>
              </w:rPr>
              <w:t>4900</w:t>
            </w:r>
          </w:p>
        </w:tc>
        <w:tc>
          <w:tcPr>
            <w:tcW w:w="986" w:type="dxa"/>
            <w:noWrap w:val="0"/>
            <w:vAlign w:val="center"/>
          </w:tcPr>
          <w:p w14:paraId="317ACB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4,495.41 </w:t>
            </w:r>
          </w:p>
        </w:tc>
        <w:tc>
          <w:tcPr>
            <w:tcW w:w="986" w:type="dxa"/>
            <w:noWrap w:val="0"/>
            <w:vAlign w:val="center"/>
          </w:tcPr>
          <w:p w14:paraId="38AE0F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4,900.00 </w:t>
            </w:r>
          </w:p>
        </w:tc>
        <w:tc>
          <w:tcPr>
            <w:tcW w:w="560" w:type="pct"/>
            <w:noWrap w:val="0"/>
            <w:vAlign w:val="center"/>
          </w:tcPr>
          <w:p w14:paraId="2E3E8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18"/>
                <w:szCs w:val="18"/>
                <w:u w:val="none"/>
                <w:lang w:val="en-US" w:eastAsia="zh-CN"/>
              </w:rPr>
            </w:pPr>
          </w:p>
        </w:tc>
      </w:tr>
      <w:tr w14:paraId="05B36F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64" w:hRule="atLeast"/>
          <w:jc w:val="center"/>
        </w:trPr>
        <w:tc>
          <w:tcPr>
            <w:tcW w:w="3434" w:type="pct"/>
            <w:gridSpan w:val="7"/>
            <w:noWrap/>
            <w:vAlign w:val="center"/>
          </w:tcPr>
          <w:p w14:paraId="0EFAD0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02" w:type="pct"/>
            <w:noWrap w:val="0"/>
            <w:vAlign w:val="center"/>
          </w:tcPr>
          <w:p w14:paraId="556F9B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1,145,225.53</w:t>
            </w:r>
          </w:p>
        </w:tc>
        <w:tc>
          <w:tcPr>
            <w:tcW w:w="502" w:type="pct"/>
            <w:noWrap w:val="0"/>
            <w:vAlign w:val="center"/>
          </w:tcPr>
          <w:p w14:paraId="2E9A13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1,248,295.83</w:t>
            </w:r>
          </w:p>
        </w:tc>
        <w:tc>
          <w:tcPr>
            <w:tcW w:w="560" w:type="pct"/>
            <w:noWrap w:val="0"/>
            <w:vAlign w:val="center"/>
          </w:tcPr>
          <w:p w14:paraId="708DC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val="0"/>
                <w:bCs w:val="0"/>
                <w:i w:val="0"/>
                <w:iCs w:val="0"/>
                <w:color w:val="000000"/>
                <w:sz w:val="20"/>
                <w:szCs w:val="20"/>
                <w:u w:val="none"/>
                <w:lang w:val="en-US" w:eastAsia="zh-CN"/>
              </w:rPr>
            </w:pPr>
            <w:r>
              <w:rPr>
                <w:rFonts w:hint="default" w:ascii="Times New Roman" w:hAnsi="Times New Roman"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增值税专用发票</w:t>
            </w:r>
          </w:p>
        </w:tc>
      </w:tr>
      <w:tr w14:paraId="484698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7" w:hRule="atLeast"/>
          <w:jc w:val="center"/>
        </w:trPr>
        <w:tc>
          <w:tcPr>
            <w:tcW w:w="5000" w:type="pct"/>
            <w:gridSpan w:val="10"/>
            <w:noWrap/>
            <w:vAlign w:val="center"/>
          </w:tcPr>
          <w:p w14:paraId="7C0BB48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i w:val="0"/>
                <w:iCs w:val="0"/>
                <w:color w:val="000000"/>
                <w:kern w:val="0"/>
                <w:szCs w:val="22"/>
                <w:u w:val="none"/>
                <w:lang w:val="en-US" w:eastAsia="zh-CN" w:bidi="ar"/>
              </w:rPr>
            </w:pPr>
            <w:r>
              <w:rPr>
                <w:rFonts w:hint="default" w:ascii="Times New Roman" w:hAnsi="Times New Roman" w:cs="Times New Roman"/>
                <w:lang w:val="en-US" w:eastAsia="zh-CN"/>
              </w:rPr>
              <w:t>备注：以上价格包括但不限于完成上述工程的人工、材料、机械、管理费、利润、规费、9%增值税及相关安全文明施工费、临时设施费、赶工措施费、二次搬运费等措施费，结算价格不作调整。</w:t>
            </w:r>
          </w:p>
        </w:tc>
      </w:tr>
    </w:tbl>
    <w:p w14:paraId="16AA7F04">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三、合同工期</w:t>
      </w:r>
    </w:p>
    <w:p w14:paraId="758F3D7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计划开工日期：【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02</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】（具体开工时间以甲方书面通知为准），计划完工日期：【</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05</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】，合同工期</w:t>
      </w:r>
      <w:r>
        <w:rPr>
          <w:rFonts w:hint="default" w:ascii="Times New Roman" w:hAnsi="Times New Roman" w:eastAsia="仿宋_GB2312" w:cs="Times New Roman"/>
          <w:sz w:val="28"/>
          <w:szCs w:val="28"/>
          <w:lang w:val="en-US" w:eastAsia="zh-CN"/>
        </w:rPr>
        <w:t>为</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90</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个</w:t>
      </w:r>
      <w:r>
        <w:rPr>
          <w:rFonts w:hint="default" w:ascii="Times New Roman" w:hAnsi="Times New Roman" w:eastAsia="仿宋_GB2312" w:cs="Times New Roman"/>
          <w:sz w:val="28"/>
          <w:szCs w:val="28"/>
        </w:rPr>
        <w:t>日历天。工期总日历天数与根据前述计划开竣工日期计算的工期天数不一致的，以工期总日历天数为准。</w:t>
      </w:r>
    </w:p>
    <w:p w14:paraId="1B632B4D">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四、结算方式 </w:t>
      </w:r>
    </w:p>
    <w:p w14:paraId="5A0A6CE7">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本合同不含增值税</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暂定合同价</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为人民币【大</w:t>
      </w:r>
      <w:r>
        <w:rPr>
          <w:rFonts w:hint="default" w:ascii="Times New Roman" w:hAnsi="Times New Roman" w:eastAsia="仿宋_GB2312" w:cs="Times New Roman"/>
          <w:sz w:val="28"/>
          <w:szCs w:val="28"/>
          <w:lang w:val="en-US" w:eastAsia="zh-CN"/>
        </w:rPr>
        <w:t>写：</w:t>
      </w:r>
      <w:r>
        <w:rPr>
          <w:rFonts w:hint="eastAsia" w:ascii="Times New Roman" w:hAnsi="Times New Roman" w:eastAsia="仿宋_GB2312" w:cs="Times New Roman"/>
          <w:sz w:val="28"/>
          <w:szCs w:val="28"/>
          <w:lang w:val="en-US" w:eastAsia="zh-CN"/>
        </w:rPr>
        <w:t>壹佰壹拾肆万伍仟贰佰贰拾伍元伍角叁分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1,145,225.53</w:t>
      </w:r>
      <w:r>
        <w:rPr>
          <w:rFonts w:hint="default" w:ascii="Times New Roman" w:hAnsi="Times New Roman" w:eastAsia="仿宋_GB2312" w:cs="Times New Roman"/>
          <w:sz w:val="28"/>
          <w:szCs w:val="28"/>
        </w:rPr>
        <w:t>】元），增值税税率【</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】，增值税税额为人民币【大写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壹拾万零叁仟零柒拾元叁角整</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103,070.30</w:t>
      </w:r>
      <w:r>
        <w:rPr>
          <w:rFonts w:hint="default" w:ascii="Times New Roman" w:hAnsi="Times New Roman" w:eastAsia="仿宋_GB2312" w:cs="Times New Roman"/>
          <w:sz w:val="28"/>
          <w:szCs w:val="28"/>
        </w:rPr>
        <w:t>】元），含增值税的签约合同总价为人民币【大写</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壹佰贰拾肆万捌仟贰佰玖拾伍元捌角叁分</w:t>
      </w:r>
      <w:r>
        <w:rPr>
          <w:rFonts w:hint="default" w:ascii="Times New Roman" w:hAnsi="Times New Roman" w:eastAsia="仿宋_GB2312" w:cs="Times New Roman"/>
          <w:sz w:val="28"/>
          <w:szCs w:val="28"/>
        </w:rPr>
        <w:t>】（小写：¥【</w:t>
      </w:r>
      <w:r>
        <w:rPr>
          <w:rFonts w:hint="eastAsia" w:ascii="Times New Roman" w:hAnsi="Times New Roman" w:eastAsia="仿宋_GB2312" w:cs="Times New Roman"/>
          <w:sz w:val="28"/>
          <w:szCs w:val="28"/>
          <w:lang w:val="en-US" w:eastAsia="zh-CN"/>
        </w:rPr>
        <w:t>1,248,295.83</w:t>
      </w:r>
      <w:r>
        <w:rPr>
          <w:rFonts w:hint="default" w:ascii="Times New Roman" w:hAnsi="Times New Roman" w:eastAsia="仿宋_GB2312" w:cs="Times New Roman"/>
          <w:sz w:val="28"/>
          <w:szCs w:val="28"/>
        </w:rPr>
        <w:t>】元），上述价格包括但不限于【</w:t>
      </w:r>
      <w:r>
        <w:rPr>
          <w:rFonts w:hint="default" w:ascii="Times New Roman" w:hAnsi="Times New Roman" w:eastAsia="仿宋_GB2312" w:cs="Times New Roman"/>
          <w:sz w:val="28"/>
          <w:szCs w:val="28"/>
          <w:lang w:val="en-US" w:eastAsia="zh-CN"/>
        </w:rPr>
        <w:t>人工、材料、机械、管理费、利润、规费</w:t>
      </w:r>
      <w:r>
        <w:rPr>
          <w:rFonts w:hint="default" w:ascii="Times New Roman" w:hAnsi="Times New Roman" w:eastAsia="仿宋_GB2312" w:cs="Times New Roman"/>
          <w:sz w:val="28"/>
          <w:szCs w:val="28"/>
        </w:rPr>
        <w:t>、税费】等乙方履行本合同涉及或可能涉及的一切费用。</w:t>
      </w:r>
    </w:p>
    <w:p w14:paraId="2383CE7A">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结算与支付</w:t>
      </w:r>
    </w:p>
    <w:p w14:paraId="2D61C5EC">
      <w:pPr>
        <w:keepNext w:val="0"/>
        <w:keepLines w:val="0"/>
        <w:pageBreakBefore w:val="0"/>
        <w:widowControl w:val="0"/>
        <w:kinsoku/>
        <w:wordWrap/>
        <w:overflowPunct/>
        <w:topLinePunct w:val="0"/>
        <w:bidi w:val="0"/>
        <w:snapToGrid/>
        <w:spacing w:line="480" w:lineRule="exact"/>
        <w:ind w:right="0"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lang w:eastAsia="zh-CN"/>
        </w:rPr>
        <w:t>工程款根据发包人付款情况按经</w:t>
      </w:r>
      <w:r>
        <w:rPr>
          <w:rFonts w:hint="eastAsia" w:ascii="Times New Roman" w:hAnsi="Times New Roman" w:eastAsia="仿宋_GB2312" w:cs="Times New Roman"/>
          <w:sz w:val="28"/>
          <w:szCs w:val="28"/>
          <w:lang w:val="en-US" w:eastAsia="zh-CN"/>
        </w:rPr>
        <w:t>甲方</w:t>
      </w:r>
      <w:r>
        <w:rPr>
          <w:rFonts w:hint="eastAsia" w:ascii="Times New Roman" w:hAnsi="Times New Roman" w:eastAsia="仿宋_GB2312" w:cs="Times New Roman"/>
          <w:sz w:val="28"/>
          <w:szCs w:val="28"/>
          <w:lang w:eastAsia="zh-CN"/>
        </w:rPr>
        <w:t>核实的</w:t>
      </w:r>
      <w:r>
        <w:rPr>
          <w:rFonts w:hint="eastAsia" w:ascii="Times New Roman" w:hAnsi="Times New Roman" w:eastAsia="仿宋_GB2312" w:cs="Times New Roman"/>
          <w:sz w:val="28"/>
          <w:szCs w:val="28"/>
          <w:lang w:val="en-US" w:eastAsia="zh-CN"/>
        </w:rPr>
        <w:t>乙方</w:t>
      </w:r>
      <w:r>
        <w:rPr>
          <w:rFonts w:hint="eastAsia" w:ascii="Times New Roman" w:hAnsi="Times New Roman" w:eastAsia="仿宋_GB2312" w:cs="Times New Roman"/>
          <w:sz w:val="28"/>
          <w:szCs w:val="28"/>
          <w:lang w:eastAsia="zh-CN"/>
        </w:rPr>
        <w:t xml:space="preserve">实际完成专业进度计价款的 </w:t>
      </w:r>
      <w:r>
        <w:rPr>
          <w:rFonts w:hint="eastAsia" w:ascii="Times New Roman" w:hAnsi="Times New Roman" w:eastAsia="仿宋_GB2312" w:cs="Times New Roman"/>
          <w:sz w:val="28"/>
          <w:szCs w:val="28"/>
          <w:u w:val="single"/>
          <w:lang w:val="en-US" w:eastAsia="zh-CN"/>
        </w:rPr>
        <w:t>70</w:t>
      </w:r>
      <w:r>
        <w:rPr>
          <w:rFonts w:hint="eastAsia" w:ascii="Times New Roman" w:hAnsi="Times New Roman" w:eastAsia="仿宋_GB2312" w:cs="Times New Roman"/>
          <w:sz w:val="28"/>
          <w:szCs w:val="28"/>
          <w:u w:val="single"/>
          <w:lang w:eastAsia="zh-CN"/>
        </w:rPr>
        <w:t xml:space="preserve"> </w:t>
      </w:r>
      <w:r>
        <w:rPr>
          <w:rFonts w:hint="eastAsia" w:ascii="Times New Roman" w:hAnsi="Times New Roman" w:eastAsia="仿宋_GB2312" w:cs="Times New Roman"/>
          <w:sz w:val="28"/>
          <w:szCs w:val="28"/>
          <w:lang w:eastAsia="zh-CN"/>
        </w:rPr>
        <w:t>%（含支付到农民工工资支付账户的农民工工资）支付，但必须扣除双方约定的其它费用（质量保证金月支付额的</w:t>
      </w:r>
      <w:r>
        <w:rPr>
          <w:rFonts w:hint="eastAsia" w:ascii="Times New Roman" w:hAnsi="Times New Roman" w:eastAsia="仿宋_GB2312" w:cs="Times New Roman"/>
          <w:sz w:val="28"/>
          <w:szCs w:val="28"/>
          <w:u w:val="single"/>
          <w:lang w:eastAsia="zh-CN"/>
        </w:rPr>
        <w:t xml:space="preserve"> </w:t>
      </w:r>
      <w:r>
        <w:rPr>
          <w:rFonts w:hint="eastAsia" w:ascii="Times New Roman" w:hAnsi="Times New Roman" w:eastAsia="仿宋_GB2312" w:cs="Times New Roman"/>
          <w:sz w:val="28"/>
          <w:szCs w:val="28"/>
          <w:u w:val="single"/>
          <w:lang w:val="en-US" w:eastAsia="zh-CN"/>
        </w:rPr>
        <w:t>/</w:t>
      </w:r>
      <w:r>
        <w:rPr>
          <w:rFonts w:hint="eastAsia" w:ascii="Times New Roman" w:hAnsi="Times New Roman" w:eastAsia="仿宋_GB2312" w:cs="Times New Roman"/>
          <w:sz w:val="28"/>
          <w:szCs w:val="28"/>
          <w:u w:val="single"/>
          <w:lang w:eastAsia="zh-CN"/>
        </w:rPr>
        <w:t xml:space="preserve"> </w:t>
      </w:r>
      <w:r>
        <w:rPr>
          <w:rFonts w:hint="eastAsia" w:ascii="Times New Roman" w:hAnsi="Times New Roman" w:eastAsia="仿宋_GB2312" w:cs="Times New Roman"/>
          <w:sz w:val="28"/>
          <w:szCs w:val="28"/>
          <w:lang w:eastAsia="zh-CN"/>
        </w:rPr>
        <w:t>%，农民工工资保证金</w:t>
      </w:r>
      <w:r>
        <w:rPr>
          <w:rFonts w:hint="eastAsia" w:ascii="Times New Roman" w:hAnsi="Times New Roman" w:eastAsia="仿宋_GB2312" w:cs="Times New Roman"/>
          <w:sz w:val="28"/>
          <w:szCs w:val="28"/>
          <w:u w:val="single"/>
          <w:lang w:val="en-US" w:eastAsia="zh-CN"/>
        </w:rPr>
        <w:t>/</w:t>
      </w:r>
      <w:r>
        <w:rPr>
          <w:rFonts w:hint="eastAsia" w:ascii="Times New Roman" w:hAnsi="Times New Roman" w:eastAsia="仿宋_GB2312" w:cs="Times New Roman"/>
          <w:sz w:val="28"/>
          <w:szCs w:val="28"/>
          <w:u w:val="single"/>
          <w:lang w:eastAsia="zh-CN"/>
        </w:rPr>
        <w:t xml:space="preserve">  </w:t>
      </w:r>
      <w:r>
        <w:rPr>
          <w:rFonts w:hint="eastAsia" w:ascii="Times New Roman" w:hAnsi="Times New Roman" w:eastAsia="仿宋_GB2312" w:cs="Times New Roman"/>
          <w:sz w:val="28"/>
          <w:szCs w:val="28"/>
          <w:lang w:eastAsia="zh-CN"/>
        </w:rPr>
        <w:t>%等，已经缴纳履约保证金的，且履约保证金数额已包含质量保证需求的，工程项目竣工前，可不再另扣质量保证金。）审核确认应付工程价款后</w:t>
      </w:r>
      <w:r>
        <w:rPr>
          <w:rFonts w:hint="eastAsia" w:ascii="Times New Roman" w:hAnsi="Times New Roman" w:eastAsia="仿宋_GB2312" w:cs="Times New Roman"/>
          <w:sz w:val="28"/>
          <w:szCs w:val="28"/>
          <w:u w:val="none"/>
          <w:lang w:eastAsia="zh-CN"/>
        </w:rPr>
        <w:t>，</w:t>
      </w:r>
      <w:r>
        <w:rPr>
          <w:rFonts w:hint="eastAsia" w:ascii="Times New Roman" w:hAnsi="Times New Roman" w:eastAsia="仿宋_GB2312" w:cs="Times New Roman"/>
          <w:sz w:val="28"/>
          <w:szCs w:val="28"/>
          <w:u w:val="single"/>
          <w:lang w:eastAsia="zh-CN"/>
        </w:rPr>
        <w:t xml:space="preserve"> </w:t>
      </w:r>
      <w:r>
        <w:rPr>
          <w:rFonts w:hint="eastAsia" w:ascii="Times New Roman" w:hAnsi="Times New Roman" w:eastAsia="仿宋_GB2312" w:cs="Times New Roman"/>
          <w:sz w:val="28"/>
          <w:szCs w:val="28"/>
          <w:u w:val="single"/>
          <w:lang w:val="en-US" w:eastAsia="zh-CN"/>
        </w:rPr>
        <w:t>30</w:t>
      </w:r>
      <w:r>
        <w:rPr>
          <w:rFonts w:hint="eastAsia" w:ascii="Times New Roman" w:hAnsi="Times New Roman" w:eastAsia="仿宋_GB2312" w:cs="Times New Roman"/>
          <w:sz w:val="28"/>
          <w:szCs w:val="28"/>
          <w:u w:val="single"/>
          <w:lang w:eastAsia="zh-CN"/>
        </w:rPr>
        <w:t xml:space="preserve"> </w:t>
      </w:r>
      <w:r>
        <w:rPr>
          <w:rFonts w:hint="eastAsia" w:ascii="Times New Roman" w:hAnsi="Times New Roman" w:eastAsia="仿宋_GB2312" w:cs="Times New Roman"/>
          <w:sz w:val="28"/>
          <w:szCs w:val="28"/>
          <w:lang w:eastAsia="zh-CN"/>
        </w:rPr>
        <w:t>日内（</w:t>
      </w:r>
      <w:r>
        <w:rPr>
          <w:rFonts w:hint="eastAsia" w:ascii="Times New Roman" w:hAnsi="Times New Roman" w:eastAsia="仿宋_GB2312" w:cs="Times New Roman"/>
          <w:sz w:val="28"/>
          <w:szCs w:val="28"/>
          <w:lang w:val="en-US" w:eastAsia="zh-CN"/>
        </w:rPr>
        <w:t>甲方</w:t>
      </w:r>
      <w:r>
        <w:rPr>
          <w:rFonts w:hint="eastAsia" w:ascii="Times New Roman" w:hAnsi="Times New Roman" w:eastAsia="仿宋_GB2312" w:cs="Times New Roman"/>
          <w:sz w:val="28"/>
          <w:szCs w:val="28"/>
          <w:lang w:eastAsia="zh-CN"/>
        </w:rPr>
        <w:t>收到业主方工程款的前提下</w:t>
      </w:r>
      <w:r>
        <w:rPr>
          <w:rFonts w:hint="eastAsia" w:ascii="Times New Roman" w:hAnsi="Times New Roman" w:eastAsia="仿宋_GB2312" w:cs="Times New Roman"/>
          <w:sz w:val="28"/>
          <w:szCs w:val="28"/>
          <w:highlight w:val="none"/>
          <w:lang w:eastAsia="zh-CN"/>
        </w:rPr>
        <w:t>）支付给</w:t>
      </w:r>
      <w:r>
        <w:rPr>
          <w:rFonts w:hint="eastAsia" w:ascii="Times New Roman" w:hAnsi="Times New Roman" w:eastAsia="仿宋_GB2312" w:cs="Times New Roman"/>
          <w:sz w:val="28"/>
          <w:szCs w:val="28"/>
          <w:highlight w:val="none"/>
          <w:lang w:val="en-US" w:eastAsia="zh-CN"/>
        </w:rPr>
        <w:t>乙方</w:t>
      </w:r>
      <w:r>
        <w:rPr>
          <w:rFonts w:hint="eastAsia" w:ascii="Times New Roman" w:hAnsi="Times New Roman" w:eastAsia="仿宋_GB2312" w:cs="Times New Roman"/>
          <w:sz w:val="28"/>
          <w:szCs w:val="28"/>
          <w:highlight w:val="none"/>
          <w:lang w:eastAsia="zh-CN"/>
        </w:rPr>
        <w:t>。竣工验收</w:t>
      </w:r>
      <w:r>
        <w:rPr>
          <w:rFonts w:hint="eastAsia" w:ascii="Times New Roman" w:hAnsi="Times New Roman" w:eastAsia="仿宋_GB2312" w:cs="Times New Roman"/>
          <w:sz w:val="28"/>
          <w:szCs w:val="28"/>
          <w:highlight w:val="none"/>
          <w:lang w:val="en-US" w:eastAsia="zh-CN"/>
        </w:rPr>
        <w:t>并经审计单位审核后</w:t>
      </w:r>
      <w:r>
        <w:rPr>
          <w:rFonts w:hint="eastAsia" w:ascii="Times New Roman" w:hAnsi="Times New Roman" w:eastAsia="仿宋_GB2312" w:cs="Times New Roman"/>
          <w:sz w:val="28"/>
          <w:szCs w:val="28"/>
          <w:highlight w:val="none"/>
          <w:lang w:eastAsia="zh-CN"/>
        </w:rPr>
        <w:t>支付至</w:t>
      </w:r>
      <w:r>
        <w:rPr>
          <w:rFonts w:hint="eastAsia" w:ascii="Times New Roman" w:hAnsi="Times New Roman" w:eastAsia="仿宋_GB2312" w:cs="Times New Roman"/>
          <w:sz w:val="28"/>
          <w:szCs w:val="28"/>
          <w:highlight w:val="none"/>
          <w:lang w:val="en-US" w:eastAsia="zh-CN"/>
        </w:rPr>
        <w:t>甲方审定价款的</w:t>
      </w:r>
      <w:r>
        <w:rPr>
          <w:rFonts w:hint="eastAsia" w:ascii="Times New Roman" w:hAnsi="Times New Roman" w:eastAsia="仿宋_GB2312" w:cs="Times New Roman"/>
          <w:sz w:val="28"/>
          <w:szCs w:val="28"/>
          <w:highlight w:val="none"/>
          <w:u w:val="single"/>
          <w:lang w:eastAsia="zh-CN"/>
        </w:rPr>
        <w:t xml:space="preserve"> </w:t>
      </w:r>
      <w:r>
        <w:rPr>
          <w:rFonts w:hint="eastAsia" w:ascii="Times New Roman" w:hAnsi="Times New Roman" w:eastAsia="仿宋_GB2312" w:cs="Times New Roman"/>
          <w:sz w:val="28"/>
          <w:szCs w:val="28"/>
          <w:highlight w:val="none"/>
          <w:u w:val="single"/>
          <w:lang w:val="en-US" w:eastAsia="zh-CN"/>
        </w:rPr>
        <w:t>97</w:t>
      </w:r>
      <w:r>
        <w:rPr>
          <w:rFonts w:hint="eastAsia" w:ascii="Times New Roman" w:hAnsi="Times New Roman" w:eastAsia="仿宋_GB2312" w:cs="Times New Roman"/>
          <w:sz w:val="28"/>
          <w:szCs w:val="28"/>
          <w:highlight w:val="none"/>
          <w:lang w:eastAsia="zh-CN"/>
        </w:rPr>
        <w:t>%，剩余</w:t>
      </w:r>
      <w:r>
        <w:rPr>
          <w:rFonts w:hint="eastAsia" w:ascii="Times New Roman" w:hAnsi="Times New Roman" w:eastAsia="仿宋_GB2312" w:cs="Times New Roman"/>
          <w:sz w:val="28"/>
          <w:szCs w:val="28"/>
          <w:highlight w:val="none"/>
          <w:u w:val="single"/>
          <w:lang w:eastAsia="zh-CN"/>
        </w:rPr>
        <w:t xml:space="preserve"> </w:t>
      </w:r>
      <w:r>
        <w:rPr>
          <w:rFonts w:hint="eastAsia" w:ascii="Times New Roman" w:hAnsi="Times New Roman" w:eastAsia="仿宋_GB2312" w:cs="Times New Roman"/>
          <w:sz w:val="28"/>
          <w:szCs w:val="28"/>
          <w:highlight w:val="none"/>
          <w:u w:val="single"/>
          <w:lang w:val="en-US" w:eastAsia="zh-CN"/>
        </w:rPr>
        <w:t>3</w:t>
      </w:r>
      <w:r>
        <w:rPr>
          <w:rFonts w:hint="eastAsia" w:ascii="Times New Roman" w:hAnsi="Times New Roman" w:eastAsia="仿宋_GB2312" w:cs="Times New Roman"/>
          <w:sz w:val="28"/>
          <w:szCs w:val="28"/>
          <w:highlight w:val="none"/>
          <w:u w:val="single"/>
          <w:lang w:eastAsia="zh-CN"/>
        </w:rPr>
        <w:t xml:space="preserve"> </w:t>
      </w:r>
      <w:r>
        <w:rPr>
          <w:rFonts w:hint="eastAsia" w:ascii="Times New Roman" w:hAnsi="Times New Roman" w:eastAsia="仿宋_GB2312" w:cs="Times New Roman"/>
          <w:sz w:val="28"/>
          <w:szCs w:val="28"/>
          <w:highlight w:val="none"/>
          <w:lang w:eastAsia="zh-CN"/>
        </w:rPr>
        <w:t>%作为质保金在质保期满后支付。</w:t>
      </w:r>
      <w:r>
        <w:rPr>
          <w:rFonts w:hint="eastAsia" w:ascii="Times New Roman" w:hAnsi="Times New Roman" w:eastAsia="仿宋_GB2312" w:cs="Times New Roman"/>
          <w:sz w:val="28"/>
          <w:szCs w:val="28"/>
          <w:highlight w:val="none"/>
          <w:lang w:val="en-US" w:eastAsia="zh-CN"/>
        </w:rPr>
        <w:t>乙方</w:t>
      </w:r>
      <w:r>
        <w:rPr>
          <w:rFonts w:hint="eastAsia" w:ascii="Times New Roman" w:hAnsi="Times New Roman" w:eastAsia="仿宋_GB2312" w:cs="Times New Roman"/>
          <w:sz w:val="28"/>
          <w:szCs w:val="28"/>
          <w:highlight w:val="none"/>
          <w:lang w:eastAsia="zh-CN"/>
        </w:rPr>
        <w:t>每月发放的用工工资表必须返</w:t>
      </w:r>
      <w:r>
        <w:rPr>
          <w:rFonts w:hint="eastAsia" w:ascii="Times New Roman" w:hAnsi="Times New Roman" w:eastAsia="仿宋_GB2312" w:cs="Times New Roman"/>
          <w:sz w:val="28"/>
          <w:szCs w:val="28"/>
          <w:lang w:eastAsia="zh-CN"/>
        </w:rPr>
        <w:t>甲方一份，同时乙方必须确保按甲方下达的月进度计划按质、按量完成，否则甲方有权对专业费或工程款支付比例进行调整。</w:t>
      </w:r>
      <w:r>
        <w:rPr>
          <w:rFonts w:hint="default" w:ascii="Times New Roman" w:hAnsi="Times New Roman" w:eastAsia="仿宋_GB2312" w:cs="Times New Roman"/>
          <w:sz w:val="28"/>
          <w:szCs w:val="28"/>
          <w:lang w:eastAsia="zh-CN"/>
        </w:rPr>
        <w:t>付款方式包括但不限于现金、支票、汇票、金融产品等方式。</w:t>
      </w:r>
      <w:r>
        <w:rPr>
          <w:rFonts w:hint="default" w:ascii="Times New Roman" w:hAnsi="Times New Roman" w:eastAsia="仿宋_GB2312" w:cs="Times New Roman"/>
          <w:sz w:val="28"/>
          <w:szCs w:val="28"/>
          <w:highlight w:val="none"/>
          <w:lang w:val="en-US" w:eastAsia="zh-CN"/>
        </w:rPr>
        <w:t>】</w:t>
      </w:r>
    </w:p>
    <w:p w14:paraId="6C9C30FE">
      <w:pPr>
        <w:pStyle w:val="10"/>
        <w:keepNext w:val="0"/>
        <w:keepLines w:val="0"/>
        <w:pageBreakBefore w:val="0"/>
        <w:widowControl w:val="0"/>
        <w:numPr>
          <w:ilvl w:val="0"/>
          <w:numId w:val="0"/>
        </w:numPr>
        <w:kinsoku/>
        <w:wordWrap/>
        <w:overflowPunct/>
        <w:topLinePunct w:val="0"/>
        <w:bidi w:val="0"/>
        <w:snapToGrid/>
        <w:spacing w:line="480" w:lineRule="exact"/>
        <w:ind w:right="0" w:righ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sz w:val="28"/>
          <w:szCs w:val="28"/>
        </w:rPr>
        <w:t>本合同履行过程中，上述约定税率如因国家政策调整导致税率变化的，双方根据政策文件实施要求，按上述不含税价及调整后的税率执行。</w:t>
      </w:r>
    </w:p>
    <w:p w14:paraId="30EABA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签证工程量确定：【</w:t>
      </w:r>
      <w:r>
        <w:rPr>
          <w:rFonts w:hint="default" w:ascii="Times New Roman" w:hAnsi="Times New Roman" w:eastAsia="仿宋_GB2312" w:cs="Times New Roman"/>
          <w:kern w:val="2"/>
          <w:sz w:val="28"/>
          <w:szCs w:val="28"/>
          <w:lang w:val="en-US" w:eastAsia="zh-CN" w:bidi="ar-SA"/>
        </w:rPr>
        <w:t>合同清单以外工程量经甲乙双方共同复核确认</w:t>
      </w:r>
      <w:r>
        <w:rPr>
          <w:rFonts w:hint="eastAsia" w:ascii="Times New Roman" w:hAnsi="Times New Roman" w:eastAsia="仿宋_GB2312" w:cs="Times New Roman"/>
          <w:kern w:val="2"/>
          <w:sz w:val="28"/>
          <w:szCs w:val="28"/>
          <w:lang w:val="en-US" w:eastAsia="zh-CN" w:bidi="ar-SA"/>
        </w:rPr>
        <w:t>并经监理及跟踪审计确认</w:t>
      </w:r>
      <w:r>
        <w:rPr>
          <w:rFonts w:hint="default" w:ascii="Times New Roman" w:hAnsi="Times New Roman" w:eastAsia="仿宋_GB2312" w:cs="Times New Roman"/>
          <w:kern w:val="2"/>
          <w:sz w:val="28"/>
          <w:szCs w:val="28"/>
          <w:lang w:val="en-US" w:eastAsia="zh-CN" w:bidi="ar-SA"/>
        </w:rPr>
        <w:t>，并以现场签证单为准；甲方对确认的合同外签证工程量清单及组价文件的编制依据为</w:t>
      </w:r>
      <w:r>
        <w:rPr>
          <w:rFonts w:hint="eastAsia" w:ascii="Times New Roman" w:hAnsi="Times New Roman" w:eastAsia="仿宋_GB2312" w:cs="Times New Roman"/>
          <w:kern w:val="2"/>
          <w:sz w:val="28"/>
          <w:szCs w:val="28"/>
          <w:lang w:val="en-US" w:eastAsia="zh-CN" w:bidi="ar-SA"/>
        </w:rPr>
        <w:t>现行</w:t>
      </w:r>
      <w:r>
        <w:rPr>
          <w:rFonts w:hint="default"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安徽</w:t>
      </w:r>
      <w:r>
        <w:rPr>
          <w:rFonts w:hint="default" w:ascii="Times New Roman" w:hAnsi="Times New Roman" w:eastAsia="仿宋_GB2312" w:cs="Times New Roman"/>
          <w:kern w:val="2"/>
          <w:sz w:val="28"/>
          <w:szCs w:val="28"/>
          <w:lang w:val="en-US" w:eastAsia="zh-CN" w:bidi="ar-SA"/>
        </w:rPr>
        <w:t>省市政工程计价定额》及其配套文件。其中人工下浮20%、机械下浮10%，不计取管理费、利润、规费、措施费费率仅计取安全文明施工费的以及临时设施费（</w:t>
      </w:r>
      <w:r>
        <w:rPr>
          <w:rFonts w:hint="eastAsia" w:ascii="Times New Roman" w:hAnsi="Times New Roman" w:eastAsia="仿宋_GB2312" w:cs="Times New Roman"/>
          <w:kern w:val="2"/>
          <w:sz w:val="28"/>
          <w:szCs w:val="28"/>
          <w:lang w:val="en-US" w:eastAsia="zh-CN" w:bidi="ar-SA"/>
        </w:rPr>
        <w:t>措施费如遇取值区间取</w:t>
      </w:r>
      <w:r>
        <w:rPr>
          <w:rFonts w:hint="default" w:ascii="Times New Roman" w:hAnsi="Times New Roman" w:eastAsia="仿宋_GB2312" w:cs="Times New Roman"/>
          <w:kern w:val="2"/>
          <w:sz w:val="28"/>
          <w:szCs w:val="28"/>
          <w:lang w:val="en-US" w:eastAsia="zh-CN" w:bidi="ar-SA"/>
        </w:rPr>
        <w:t>中值）、税金费率与合同清单一致）</w:t>
      </w:r>
      <w:r>
        <w:rPr>
          <w:rFonts w:hint="default" w:ascii="Times New Roman" w:hAnsi="Times New Roman" w:eastAsia="仿宋_GB2312" w:cs="Times New Roman"/>
          <w:sz w:val="28"/>
          <w:szCs w:val="28"/>
        </w:rPr>
        <w:t>】</w:t>
      </w:r>
    </w:p>
    <w:p w14:paraId="0BB372A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履约保证金的形式：</w:t>
      </w:r>
      <w:r>
        <w:rPr>
          <w:rFonts w:hint="eastAsia" w:ascii="Times New Roman" w:hAnsi="Times New Roman" w:eastAsia="仿宋_GB2312" w:cs="Times New Roman"/>
          <w:kern w:val="2"/>
          <w:sz w:val="28"/>
          <w:szCs w:val="28"/>
          <w:highlight w:val="none"/>
          <w:u w:val="single"/>
          <w:lang w:val="en-US" w:eastAsia="zh-CN" w:bidi="ar-SA"/>
        </w:rPr>
        <w:t>电汇、保函，成交发出之日起15日内递交</w:t>
      </w:r>
      <w:r>
        <w:rPr>
          <w:rFonts w:hint="eastAsia" w:ascii="Times New Roman" w:hAnsi="Times New Roman" w:eastAsia="仿宋_GB2312" w:cs="Times New Roman"/>
          <w:kern w:val="2"/>
          <w:sz w:val="28"/>
          <w:szCs w:val="28"/>
          <w:highlight w:val="none"/>
          <w:lang w:val="en-US" w:eastAsia="zh-CN" w:bidi="ar-SA"/>
        </w:rPr>
        <w:t>。</w:t>
      </w:r>
    </w:p>
    <w:p w14:paraId="1437BE9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履约保证金的金额：</w:t>
      </w:r>
      <w:r>
        <w:rPr>
          <w:rFonts w:hint="eastAsia" w:ascii="Times New Roman" w:hAnsi="Times New Roman" w:eastAsia="仿宋_GB2312" w:cs="Times New Roman"/>
          <w:kern w:val="2"/>
          <w:sz w:val="28"/>
          <w:szCs w:val="28"/>
          <w:highlight w:val="none"/>
          <w:u w:val="single"/>
          <w:lang w:val="en-US" w:eastAsia="zh-CN" w:bidi="ar-SA"/>
        </w:rPr>
        <w:t xml:space="preserve">提供现金担保的按成交合同金额的5%（提供保函的为成交合同金额的10%）。 </w:t>
      </w:r>
    </w:p>
    <w:p w14:paraId="092E6B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 xml:space="preserve">在工程竣工验收后 </w:t>
      </w:r>
      <w:r>
        <w:rPr>
          <w:rFonts w:hint="eastAsia" w:ascii="Times New Roman" w:hAnsi="Times New Roman" w:eastAsia="仿宋_GB2312" w:cs="Times New Roman"/>
          <w:kern w:val="2"/>
          <w:sz w:val="28"/>
          <w:szCs w:val="28"/>
          <w:highlight w:val="none"/>
          <w:u w:val="single"/>
          <w:lang w:val="en-US" w:eastAsia="zh-CN" w:bidi="ar-SA"/>
        </w:rPr>
        <w:t xml:space="preserve">一个 </w:t>
      </w:r>
      <w:r>
        <w:rPr>
          <w:rFonts w:hint="eastAsia" w:ascii="Times New Roman" w:hAnsi="Times New Roman" w:eastAsia="仿宋_GB2312" w:cs="Times New Roman"/>
          <w:kern w:val="2"/>
          <w:sz w:val="28"/>
          <w:szCs w:val="28"/>
          <w:highlight w:val="none"/>
          <w:lang w:val="en-US" w:eastAsia="zh-CN" w:bidi="ar-SA"/>
        </w:rPr>
        <w:t>月内退还乙方履约保证金（保函）（不计利息）。</w:t>
      </w:r>
    </w:p>
    <w:p w14:paraId="1A750E6A">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五、甲方权利义务</w:t>
      </w:r>
    </w:p>
    <w:p w14:paraId="7A9746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负责业主、监理及其它相关单位的工作协调。</w:t>
      </w:r>
    </w:p>
    <w:p w14:paraId="0621BD7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2监督乙方做好安全生产文明施工、施工进度、质量控制。</w:t>
      </w:r>
    </w:p>
    <w:p w14:paraId="2FE009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甲方不承担乙方在施工过程中因任何问题造成的任何安全事故责任。</w:t>
      </w:r>
    </w:p>
    <w:p w14:paraId="5A2180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依据本合同约定及时支付合同价款。</w:t>
      </w:r>
    </w:p>
    <w:p w14:paraId="0A7035C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六、乙方权利义务</w:t>
      </w:r>
    </w:p>
    <w:p w14:paraId="13750AF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乙方应按照甲方要求及行政部门的管理规定，规范管理现场，对于进入现场施工的工人，必须符合公安、劳动等部门的有关规定，证件齐全。</w:t>
      </w:r>
    </w:p>
    <w:p w14:paraId="4BBA98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严格按图纸要求、国家验收规范要求进行施工，及时、准确提供有效资料。</w:t>
      </w:r>
    </w:p>
    <w:p w14:paraId="7F7B43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乙方应做好与其它相关施工单位的配合工作，确保工期、质量和安全文明达到规定要求。</w:t>
      </w:r>
    </w:p>
    <w:p w14:paraId="71F36C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严格遵守本工程的各项要求及服从甲方及项目部的管理，如有违反将承担甲方及监理单位依据管理制度规定所做出的处罚决定。</w:t>
      </w:r>
    </w:p>
    <w:p w14:paraId="1D3B854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进场施工后，未经甲方同意不得要求退场，否则其所做工程及所有未结工程款不予支付或结算。</w:t>
      </w:r>
    </w:p>
    <w:p w14:paraId="033DC5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本合同履行过程中所涉及的工程全部成品、半成品在竣工验收交付前均由乙方负责管理、保护，产生的毁损、损失责任也相应由乙方承担。 </w:t>
      </w:r>
    </w:p>
    <w:p w14:paraId="3B68B12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乙方保证工程质量达到国家验收标准，因乙方承包范围内的工程质量原因未达到国家验收标准的，甲方有权拒绝接收和支付任何合同款项，同时有权要求乙方承担损失赔偿责任。 </w:t>
      </w:r>
    </w:p>
    <w:p w14:paraId="6D422BD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乙方应为其施工人员购买法律规定的各项社会保险，合同履行期间乙方施工人员所发生的工伤、安全事故责任由乙方予以承担。</w:t>
      </w:r>
    </w:p>
    <w:p w14:paraId="398669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必须按照规定的标准实行文明施工管理，做好安全教育与施工保护措施，所有人员进入施工现场必须穿戴安全防护用品，对施工现场的安全施工、安全防火负责。按安全标准组织施工，根据现场情况采取必要的安全防护措施，全面负责施工现场的安全及第三方人身安全，施工期间非因甲方原因导致的人身损害及财产损失均由乙方自行承担相应的赔偿责任，包括但不限于甲、乙方双方及第三方的人员损害及财产损失。</w:t>
      </w:r>
    </w:p>
    <w:p w14:paraId="543FD54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施工现场在保证安全的前提下,按照标准化现场施工要求,保持场内、场外整洁，做到材料堆放有序整齐，工完料尽场地清。</w:t>
      </w:r>
    </w:p>
    <w:p w14:paraId="5009EB3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乙方施工所用临时电在接线前与甲方沟通确定接线位置，并依据国家相关规范要求对现场用电进行管理，确保施工现场临时用电安全。</w:t>
      </w:r>
    </w:p>
    <w:p w14:paraId="263B24E9">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七、质保期</w:t>
      </w:r>
    </w:p>
    <w:p w14:paraId="53A804A8">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本工程质保期为自业主书面验收合格并移交之日起【</w:t>
      </w: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】个月，如国家相关法律法规及行业标准规定超过上述质保期的，以国家相关法律法规及行业标准规定为准。</w:t>
      </w:r>
    </w:p>
    <w:p w14:paraId="0D1B78F8">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乙方应保证维修及时性，在收到甲方的通知后，应及时赶到现场，具体时间如下：</w:t>
      </w:r>
    </w:p>
    <w:p w14:paraId="26A50FD0">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（1）除人力不可抗拒原因外，乙方须在接到通知后【8】小时内赶到现场并于【2】小时内解决。</w:t>
      </w:r>
    </w:p>
    <w:p w14:paraId="0D75147D">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（2）其他情况下，乙方须在甲方通知后【24】小时内赶到现场，并于赶到现场之日起【2】日内完成通知所涉及之保修项目。</w:t>
      </w:r>
    </w:p>
    <w:p w14:paraId="4F33B543">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当乙方未按（1）、（2）条规定时间到场的情况下，甲方有权自行安排第三方进行维修，由此产生的全部费用甲方有权自乙方未结款项（含质保金）中直接扣除，鉴于乙方未能按时响应保修义务过程中，甲方人员劳动及工作成本的增加，乙方需另向甲方支付售后管理费【售后管理费用的标准为第三方全部维修费用的【20%】，且单笔售后管理费不应少于【1000】元】，甲方有权在乙方未结工程款（含质保金）中直接扣除。</w:t>
      </w:r>
    </w:p>
    <w:p w14:paraId="5B212AE8">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（4）经乙方维修或甲方委托第三方维修后，保修期以甲方验收合格之日起重新起算。保修期内更换或维修的部件、部位，其保修期在更换或维修验收后重新起算。</w:t>
      </w:r>
    </w:p>
    <w:p w14:paraId="23AEC8C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（5）因乙方逾期响应保修义务导致的甲方所有扣付事项，均无需征得乙方的认可。</w:t>
      </w:r>
    </w:p>
    <w:p w14:paraId="3C7A7E24">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（6）保修期内乙方尚有未完成的维修义务及甲方委托第三方未处理完毕的维修工作的，剩余质保金应顺延至维修赔偿完毕之日后的【15】个工作日内返还。</w:t>
      </w:r>
    </w:p>
    <w:p w14:paraId="52D77E73">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八</w:t>
      </w:r>
      <w:r>
        <w:rPr>
          <w:rFonts w:hint="default" w:ascii="Times New Roman" w:hAnsi="Times New Roman" w:eastAsia="黑体" w:cs="Times New Roman"/>
          <w:sz w:val="28"/>
          <w:szCs w:val="28"/>
        </w:rPr>
        <w:t>、违约责任</w:t>
      </w:r>
    </w:p>
    <w:p w14:paraId="7D00AEA0">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因乙方原因造成本工程质量达不到合同约定质量标准的，甲方有权不办理结算、不支付工程款，同时乙方应承担修复责任，向甲方支付合同价款【5%】的违约金，并赔偿甲方由此遭受的全部损失。</w:t>
      </w:r>
    </w:p>
    <w:p w14:paraId="55DA47AC">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乙方将本合同内的承包工作内容再分包或转包给他人的，乙方须承担本合同价款【20%】的违约金，且甲方有权单方解除合同而无需承担任何违约责任。</w:t>
      </w:r>
    </w:p>
    <w:p w14:paraId="3ADE8723">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由于乙方原因施工质量无法满足甲方要求或质量不合格的，甲方有权要求乙方限期予以整改，乙方未能按期整改完毕并通过甲方确认的，甲方有权解除合同。整改期间甲方不予以支付任何费用，整改期间损失的工期由乙方自行承担。</w:t>
      </w:r>
    </w:p>
    <w:p w14:paraId="13FC6AE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甲方依据本合同约定解除合同的，有权要求乙方承担合同总价【20%】的违约金；甲方发出解除合同通知后，乙方应按甲方要求及时退场，迟延退场期间应向甲方承担【10000元/天】的违约金。</w:t>
      </w:r>
    </w:p>
    <w:p w14:paraId="157A2003">
      <w:pPr>
        <w:keepNext w:val="0"/>
        <w:keepLines w:val="0"/>
        <w:pageBreakBefore w:val="0"/>
        <w:widowControl w:val="0"/>
        <w:kinsoku/>
        <w:wordWrap/>
        <w:overflowPunct/>
        <w:topLinePunct w:val="0"/>
        <w:bidi w:val="0"/>
        <w:snapToGrid/>
        <w:spacing w:line="480" w:lineRule="exact"/>
        <w:ind w:left="0"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因</w:t>
      </w:r>
      <w:r>
        <w:rPr>
          <w:rFonts w:hint="eastAsia" w:ascii="Times New Roman" w:hAnsi="Times New Roman" w:eastAsia="仿宋_GB2312" w:cs="Times New Roman"/>
          <w:sz w:val="28"/>
          <w:szCs w:val="28"/>
          <w:lang w:eastAsia="zh-CN"/>
        </w:rPr>
        <w:t>甲方</w:t>
      </w:r>
      <w:r>
        <w:rPr>
          <w:rFonts w:hint="default" w:ascii="Times New Roman" w:hAnsi="Times New Roman" w:eastAsia="仿宋_GB2312" w:cs="Times New Roman"/>
          <w:sz w:val="28"/>
          <w:szCs w:val="28"/>
        </w:rPr>
        <w:t>原因造成工期延误，每延期一天，</w:t>
      </w:r>
      <w:r>
        <w:rPr>
          <w:rFonts w:hint="eastAsia" w:ascii="Times New Roman" w:hAnsi="Times New Roman" w:eastAsia="仿宋_GB2312" w:cs="Times New Roman"/>
          <w:sz w:val="28"/>
          <w:szCs w:val="28"/>
          <w:lang w:eastAsia="zh-CN"/>
        </w:rPr>
        <w:t>甲方</w:t>
      </w:r>
      <w:r>
        <w:rPr>
          <w:rFonts w:hint="default" w:ascii="Times New Roman" w:hAnsi="Times New Roman" w:eastAsia="仿宋_GB2312" w:cs="Times New Roman"/>
          <w:sz w:val="28"/>
          <w:szCs w:val="28"/>
        </w:rPr>
        <w:t>向发包人支付合同总价【0.1%】的违约金，并承担延误工期给总包单位、建设单位造成的全部损失 。误期时间从合同约定竣工日期起直至全部工程实际验收合格日期止。</w:t>
      </w:r>
    </w:p>
    <w:p w14:paraId="5674D26C">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无故停工或延误节点工期累计【15天】以上或质量严重不合格且经整改无明显改变等，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有权单方面终止合同，所造成损失由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 。</w:t>
      </w:r>
    </w:p>
    <w:p w14:paraId="24D2AEE7">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在工程履约过程及各项事件协商办理过程中，</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不得擅自单方面停工，否则每停工一天（不足一天按一天计），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支付【50000元】违约金 。 </w:t>
      </w:r>
    </w:p>
    <w:p w14:paraId="3574E73E">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必须按照</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w:t>
      </w:r>
      <w:r>
        <w:rPr>
          <w:rFonts w:hint="eastAsia" w:ascii="Times New Roman" w:hAnsi="Times New Roman" w:eastAsia="仿宋_GB2312" w:cs="Times New Roman"/>
          <w:sz w:val="28"/>
          <w:szCs w:val="28"/>
          <w:lang w:eastAsia="zh-CN"/>
        </w:rPr>
        <w:t>甲方</w:t>
      </w:r>
      <w:r>
        <w:rPr>
          <w:rFonts w:hint="default" w:ascii="Times New Roman" w:hAnsi="Times New Roman" w:eastAsia="仿宋_GB2312" w:cs="Times New Roman"/>
          <w:sz w:val="28"/>
          <w:szCs w:val="28"/>
        </w:rPr>
        <w:t>安全管理、现场管理、进度管理、质量管理相关要求组织施工，按时参加</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总</w:t>
      </w:r>
      <w:r>
        <w:rPr>
          <w:rFonts w:hint="eastAsia" w:ascii="Times New Roman" w:hAnsi="Times New Roman" w:eastAsia="仿宋_GB2312" w:cs="Times New Roman"/>
          <w:sz w:val="28"/>
          <w:szCs w:val="28"/>
          <w:lang w:eastAsia="zh-CN"/>
        </w:rPr>
        <w:t>甲方</w:t>
      </w:r>
      <w:r>
        <w:rPr>
          <w:rFonts w:hint="default" w:ascii="Times New Roman" w:hAnsi="Times New Roman" w:eastAsia="仿宋_GB2312" w:cs="Times New Roman"/>
          <w:sz w:val="28"/>
          <w:szCs w:val="28"/>
        </w:rPr>
        <w:t>组织的生产调度会、质量专题会议，以及监理单位组织的监理例会和其他专题会议，</w:t>
      </w:r>
      <w:r>
        <w:rPr>
          <w:rFonts w:hint="default" w:ascii="Times New Roman" w:hAnsi="Times New Roman" w:eastAsia="仿宋_GB2312" w:cs="Times New Roman"/>
          <w:sz w:val="28"/>
          <w:szCs w:val="28"/>
          <w:lang w:val="en-US" w:eastAsia="zh-CN"/>
        </w:rPr>
        <w:t>如不能按时参加或拒不参加的，应向甲方</w:t>
      </w:r>
      <w:r>
        <w:rPr>
          <w:rFonts w:hint="default" w:ascii="Times New Roman" w:hAnsi="Times New Roman" w:eastAsia="仿宋_GB2312" w:cs="Times New Roman"/>
          <w:sz w:val="28"/>
          <w:szCs w:val="28"/>
        </w:rPr>
        <w:t>支付【1000元】</w:t>
      </w:r>
      <w:r>
        <w:rPr>
          <w:rFonts w:hint="default" w:ascii="Times New Roman" w:hAnsi="Times New Roman" w:eastAsia="仿宋_GB2312" w:cs="Times New Roman"/>
          <w:sz w:val="28"/>
          <w:szCs w:val="28"/>
          <w:lang w:val="en-US" w:eastAsia="zh-CN"/>
        </w:rPr>
        <w:t>/次的</w:t>
      </w:r>
      <w:r>
        <w:rPr>
          <w:rFonts w:hint="default" w:ascii="Times New Roman" w:hAnsi="Times New Roman" w:eastAsia="仿宋_GB2312" w:cs="Times New Roman"/>
          <w:sz w:val="28"/>
          <w:szCs w:val="28"/>
        </w:rPr>
        <w:t>违约金。违约金的支付并不能免除合同约定的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14:paraId="72706A32">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在施工时必须严格按照投标时确定的措施项目进行设置和实施，</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没有按照投标时确定的措施项目进行设置而私自降低标准时，每发生一次，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按该项措施费的【10%】支付违约金 。</w:t>
      </w:r>
    </w:p>
    <w:p w14:paraId="006782AD">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须积极配合建设单位、总包单位办理应由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办理的手续工作；</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需按</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的要求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个工作日内提供所需证明资料，否则，每延误一日，</w:t>
      </w:r>
      <w:r>
        <w:rPr>
          <w:rFonts w:hint="default" w:ascii="Times New Roman" w:hAnsi="Times New Roman" w:eastAsia="仿宋_GB2312" w:cs="Times New Roman"/>
          <w:sz w:val="28"/>
          <w:szCs w:val="28"/>
          <w:lang w:val="en-US" w:eastAsia="zh-CN"/>
        </w:rPr>
        <w:t>向甲方支付</w:t>
      </w:r>
      <w:r>
        <w:rPr>
          <w:rFonts w:hint="default" w:ascii="Times New Roman" w:hAnsi="Times New Roman" w:eastAsia="仿宋_GB2312" w:cs="Times New Roman"/>
          <w:sz w:val="28"/>
          <w:szCs w:val="28"/>
        </w:rPr>
        <w:t>【2000】元</w:t>
      </w:r>
      <w:r>
        <w:rPr>
          <w:rFonts w:hint="default" w:ascii="Times New Roman" w:hAnsi="Times New Roman" w:eastAsia="仿宋_GB2312" w:cs="Times New Roman"/>
          <w:sz w:val="28"/>
          <w:szCs w:val="28"/>
          <w:lang w:val="en-US" w:eastAsia="zh-CN"/>
        </w:rPr>
        <w:t>/日的违约金</w:t>
      </w:r>
      <w:r>
        <w:rPr>
          <w:rFonts w:hint="default" w:ascii="Times New Roman" w:hAnsi="Times New Roman" w:eastAsia="仿宋_GB2312" w:cs="Times New Roman"/>
          <w:sz w:val="28"/>
          <w:szCs w:val="28"/>
        </w:rPr>
        <w:t>，且</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有权暂停对</w:t>
      </w:r>
      <w:r>
        <w:rPr>
          <w:rFonts w:hint="eastAsia" w:ascii="Times New Roman" w:hAnsi="Times New Roman" w:eastAsia="仿宋_GB2312" w:cs="Times New Roman"/>
          <w:sz w:val="28"/>
          <w:szCs w:val="28"/>
          <w:lang w:eastAsia="zh-CN"/>
        </w:rPr>
        <w:t>甲方</w:t>
      </w:r>
      <w:r>
        <w:rPr>
          <w:rFonts w:hint="default" w:ascii="Times New Roman" w:hAnsi="Times New Roman" w:eastAsia="仿宋_GB2312" w:cs="Times New Roman"/>
          <w:sz w:val="28"/>
          <w:szCs w:val="28"/>
        </w:rPr>
        <w:t>的结算及支付工作 。</w:t>
      </w:r>
    </w:p>
    <w:p w14:paraId="6C2ECE68">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对总包单位、监理单位、建设单位发出的工作指令须严格执行。</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拒不执行指令的，属</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违约，每发生一次</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向</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支付违约金【10000】元，由此造成的一切损失由</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承担。违约金的支付并不能免除合同约定的</w:t>
      </w:r>
      <w:r>
        <w:rPr>
          <w:rFonts w:hint="default" w:ascii="Times New Roman" w:hAnsi="Times New Roman" w:eastAsia="仿宋_GB2312" w:cs="Times New Roman"/>
          <w:sz w:val="28"/>
          <w:szCs w:val="28"/>
          <w:lang w:val="en-US" w:eastAsia="zh-CN"/>
        </w:rPr>
        <w:t>乙方</w:t>
      </w:r>
      <w:r>
        <w:rPr>
          <w:rFonts w:hint="default" w:ascii="Times New Roman" w:hAnsi="Times New Roman" w:eastAsia="仿宋_GB2312" w:cs="Times New Roman"/>
          <w:sz w:val="28"/>
          <w:szCs w:val="28"/>
        </w:rPr>
        <w:t>应尽的其他权利及义务 。</w:t>
      </w:r>
    </w:p>
    <w:p w14:paraId="35D16BEB">
      <w:pPr>
        <w:keepNext w:val="0"/>
        <w:keepLines w:val="0"/>
        <w:pageBreakBefore w:val="0"/>
        <w:widowControl w:val="0"/>
        <w:kinsoku/>
        <w:wordWrap/>
        <w:overflowPunct/>
        <w:topLinePunct w:val="0"/>
        <w:bidi w:val="0"/>
        <w:snapToGrid/>
        <w:spacing w:line="480" w:lineRule="exact"/>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本合同项下，</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损失包括但不限于遭受的处罚、罚款，向第三方的赔偿后补偿，另行聘请第三方的溢价，工期延误的损失以及向监理人追偿的费用（包括律师费、诉讼费、执行费、担保费、公告费、鉴定费等一切费用）。 </w:t>
      </w:r>
    </w:p>
    <w:p w14:paraId="1B30ED59">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乙方对所招用的农民工工资支付负直接责任，应按时发放农民工工资，及时、准确提供相关资料。乙方不得以工程款未到位等为由克扣或拖欠农民工工资，不得以合同应收工程款等经营风险转嫁给农民工。若发生农民工集中讨薪、围堵甲方或行政机关影响其正常办公或以其他方式进行讨薪事件的，甲方有权要求乙方承担【20000元/次】的违约金，如经甲方核实确属乙方欠薪人员的，甲方也有权自乙方未结款项中直接支付并在后期付款时予以扣除。</w:t>
      </w:r>
    </w:p>
    <w:p w14:paraId="31068E55">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sz w:val="28"/>
          <w:szCs w:val="28"/>
        </w:rPr>
        <w:t>、不可抗力</w:t>
      </w:r>
    </w:p>
    <w:p w14:paraId="15FD1118">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14:paraId="3559DBC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受阻一方应在不可抗力事件发生后，尽快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14:paraId="67F3D3F2">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十</w:t>
      </w:r>
      <w:r>
        <w:rPr>
          <w:rFonts w:hint="default" w:ascii="Times New Roman" w:hAnsi="Times New Roman" w:eastAsia="黑体" w:cs="Times New Roman"/>
          <w:sz w:val="28"/>
          <w:szCs w:val="28"/>
        </w:rPr>
        <w:t>、争端的解决</w:t>
      </w:r>
    </w:p>
    <w:p w14:paraId="4DEAF91A">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本合同履行过程中若发生纠纷，甲乙双方应及时协商解决，协商未果，由</w:t>
      </w:r>
      <w:r>
        <w:rPr>
          <w:rFonts w:hint="eastAsia"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所在地人民法院裁决，其他法院无权管辖。</w:t>
      </w:r>
    </w:p>
    <w:p w14:paraId="3B3D11E3">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、适用法律</w:t>
      </w:r>
    </w:p>
    <w:p w14:paraId="38513BC8">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本合同按照中华人民共和国的法律进行解释。</w:t>
      </w:r>
    </w:p>
    <w:p w14:paraId="380C0073">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二</w:t>
      </w:r>
      <w:r>
        <w:rPr>
          <w:rFonts w:hint="default" w:ascii="Times New Roman" w:hAnsi="Times New Roman" w:eastAsia="黑体" w:cs="Times New Roman"/>
          <w:sz w:val="28"/>
          <w:szCs w:val="28"/>
        </w:rPr>
        <w:t>、通知及送达</w:t>
      </w:r>
    </w:p>
    <w:p w14:paraId="6D1A9224">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本合同双方指定的履约对接人如下，双方同意以本合同载明的以下地址、电话、联系人作为接收合同履行过程中向其发出的各类信函或通知。</w:t>
      </w:r>
    </w:p>
    <w:p w14:paraId="366E891F">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甲方联系人：【</w:t>
      </w:r>
      <w:r>
        <w:rPr>
          <w:rFonts w:hint="eastAsia" w:ascii="Times New Roman" w:hAnsi="Times New Roman" w:eastAsia="仿宋_GB2312" w:cs="Times New Roman"/>
          <w:sz w:val="28"/>
          <w:szCs w:val="28"/>
          <w:lang w:val="en-US" w:eastAsia="zh-CN"/>
        </w:rPr>
        <w:t>徐金平</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13357969937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安徽省六安市金寨县生活污水处理厂</w:t>
      </w:r>
      <w:r>
        <w:rPr>
          <w:rFonts w:hint="default" w:ascii="Times New Roman" w:hAnsi="Times New Roman" w:eastAsia="仿宋_GB2312" w:cs="Times New Roman"/>
          <w:sz w:val="28"/>
          <w:szCs w:val="28"/>
          <w:u w:val="none"/>
          <w:lang w:val="en-US" w:eastAsia="zh-CN"/>
        </w:rPr>
        <w:t>】</w:t>
      </w:r>
      <w:r>
        <w:rPr>
          <w:rFonts w:hint="default" w:ascii="Times New Roman" w:hAnsi="Times New Roman" w:eastAsia="仿宋_GB2312" w:cs="Times New Roman"/>
          <w:sz w:val="28"/>
          <w:szCs w:val="28"/>
          <w:lang w:val="en-US" w:eastAsia="zh-CN"/>
        </w:rPr>
        <w:t>；</w:t>
      </w:r>
    </w:p>
    <w:p w14:paraId="596A289F">
      <w:pPr>
        <w:keepNext w:val="0"/>
        <w:keepLines w:val="0"/>
        <w:pageBreakBefore w:val="0"/>
        <w:widowControl w:val="0"/>
        <w:kinsoku/>
        <w:wordWrap/>
        <w:overflowPunct/>
        <w:topLinePunct w:val="0"/>
        <w:bidi w:val="0"/>
        <w:snapToGrid/>
        <w:spacing w:line="480" w:lineRule="exact"/>
        <w:ind w:left="0" w:right="0" w:firstLine="840" w:firstLineChars="3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乙方联系人：【</w:t>
      </w:r>
      <w:r>
        <w:rPr>
          <w:rFonts w:hint="eastAsia" w:ascii="Times New Roman" w:hAnsi="Times New Roman" w:eastAsia="仿宋_GB2312" w:cs="Times New Roman"/>
          <w:sz w:val="28"/>
          <w:szCs w:val="28"/>
          <w:lang w:val="en-US" w:eastAsia="zh-CN"/>
        </w:rPr>
        <w:t>王  雪</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17729976622</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联系地址：【</w:t>
      </w:r>
      <w:r>
        <w:rPr>
          <w:rFonts w:hint="eastAsia" w:ascii="Times New Roman" w:hAnsi="Times New Roman" w:eastAsia="仿宋_GB2312" w:cs="Times New Roman"/>
          <w:sz w:val="28"/>
          <w:szCs w:val="28"/>
          <w:lang w:val="en-US" w:eastAsia="zh-CN"/>
        </w:rPr>
        <w:t>金寨县现代产业园区莲花山路乐汇城A栋10楼</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w:t>
      </w:r>
    </w:p>
    <w:p w14:paraId="139885E5">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任何根据本合同发出的文件，可以当面送达或邮寄方式送达至对方在本合同上载明的地址，任何一方变更送达地址应及时书面通知对方，若因怠于通知变更信息或提供的信息不准确造成无法送达的，视为送达。</w:t>
      </w:r>
    </w:p>
    <w:p w14:paraId="30BEC772">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（1）通过当面送达方式发出的文件，以对方签收视为送达；</w:t>
      </w:r>
    </w:p>
    <w:p w14:paraId="18CDFB51">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（2）通过邮寄方式寄送至对方在本合同上载明地址的文件，在对方签收时视为送达或在文件寄送后三个工作日视为送达</w:t>
      </w:r>
      <w:r>
        <w:rPr>
          <w:rFonts w:hint="default" w:ascii="Times New Roman" w:hAnsi="Times New Roman" w:eastAsia="仿宋_GB2312" w:cs="Times New Roman"/>
          <w:sz w:val="28"/>
          <w:szCs w:val="28"/>
          <w:lang w:eastAsia="zh-CN"/>
        </w:rPr>
        <w:t>。</w:t>
      </w:r>
    </w:p>
    <w:p w14:paraId="1120170B">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本合同载明地址即为司法文书送达的有效地址，向以上通讯地址送达的司法文书均视为有效送达，无论是否发生拒收、退件、无人签收、他人代收或其他无法送达的情形的，均不影响司法送达的效力。</w:t>
      </w:r>
    </w:p>
    <w:p w14:paraId="40F62014">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双方共同确认：上述送达方式适用于各个司法阶段，包括但不限于仲裁、一审、二审、再审、执行以及督促程序。</w:t>
      </w:r>
      <w:r>
        <w:rPr>
          <w:rFonts w:hint="default" w:ascii="Times New Roman" w:hAnsi="Times New Roman" w:eastAsia="仿宋_GB2312" w:cs="Times New Roman"/>
          <w:sz w:val="28"/>
          <w:szCs w:val="28"/>
        </w:rPr>
        <w:tab/>
      </w:r>
    </w:p>
    <w:p w14:paraId="07F56DF8">
      <w:pPr>
        <w:keepNext w:val="0"/>
        <w:keepLines w:val="0"/>
        <w:pageBreakBefore w:val="0"/>
        <w:widowControl w:val="0"/>
        <w:kinsoku/>
        <w:wordWrap/>
        <w:overflowPunct/>
        <w:topLinePunct w:val="0"/>
        <w:bidi w:val="0"/>
        <w:snapToGrid/>
        <w:spacing w:line="480" w:lineRule="exact"/>
        <w:ind w:right="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w:t>
      </w: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、生效条款</w:t>
      </w:r>
    </w:p>
    <w:p w14:paraId="556C7B41">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rPr>
        <w:t>本合同经双方法定代表人或授权代表签字并加盖双方</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确认后生效，任何关于本合同主要条款的变更履行必须经由双方法定代表人或授权代表签字并加盖</w:t>
      </w:r>
      <w:r>
        <w:rPr>
          <w:rFonts w:hint="default" w:ascii="Times New Roman" w:hAnsi="Times New Roman" w:eastAsia="仿宋_GB2312" w:cs="Times New Roman"/>
          <w:sz w:val="28"/>
          <w:szCs w:val="28"/>
          <w:lang w:val="en-US" w:eastAsia="zh-CN"/>
        </w:rPr>
        <w:t>合同专用章</w:t>
      </w:r>
      <w:r>
        <w:rPr>
          <w:rFonts w:hint="default" w:ascii="Times New Roman" w:hAnsi="Times New Roman" w:eastAsia="仿宋_GB2312" w:cs="Times New Roman"/>
          <w:sz w:val="28"/>
          <w:szCs w:val="28"/>
        </w:rPr>
        <w:t>确认，否则不发生合同的变更效力，即使乙方合同事实变更履行完毕，甲方亦有权不予结算，由此导致的一切损失均由双方自行承担，本合同一式【</w:t>
      </w:r>
      <w:r>
        <w:rPr>
          <w:rFonts w:hint="default" w:ascii="Times New Roman" w:hAnsi="Times New Roman" w:eastAsia="仿宋_GB2312" w:cs="Times New Roman"/>
          <w:sz w:val="28"/>
          <w:szCs w:val="28"/>
          <w:lang w:val="en-US" w:eastAsia="zh-CN"/>
        </w:rPr>
        <w:t>肆</w:t>
      </w:r>
      <w:r>
        <w:rPr>
          <w:rFonts w:hint="default" w:ascii="Times New Roman" w:hAnsi="Times New Roman" w:eastAsia="仿宋_GB2312" w:cs="Times New Roman"/>
          <w:sz w:val="28"/>
          <w:szCs w:val="28"/>
        </w:rPr>
        <w:t>】份，甲方执【</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highlight w:val="none"/>
        </w:rPr>
        <w:t>乙方执【</w:t>
      </w:r>
      <w:r>
        <w:rPr>
          <w:rFonts w:hint="default" w:ascii="Times New Roman" w:hAnsi="Times New Roman" w:eastAsia="仿宋_GB2312" w:cs="Times New Roman"/>
          <w:sz w:val="28"/>
          <w:szCs w:val="28"/>
          <w:highlight w:val="none"/>
          <w:lang w:val="en-US" w:eastAsia="zh-CN"/>
        </w:rPr>
        <w:t>贰</w:t>
      </w:r>
      <w:r>
        <w:rPr>
          <w:rFonts w:hint="default" w:ascii="Times New Roman" w:hAnsi="Times New Roman" w:eastAsia="仿宋_GB2312" w:cs="Times New Roman"/>
          <w:sz w:val="28"/>
          <w:szCs w:val="28"/>
          <w:highlight w:val="none"/>
        </w:rPr>
        <w:t>】份。</w:t>
      </w:r>
    </w:p>
    <w:p w14:paraId="7631C646">
      <w:pPr>
        <w:pStyle w:val="4"/>
        <w:pageBreakBefore w:val="0"/>
        <w:wordWrap/>
        <w:overflowPunct/>
        <w:topLinePunct w:val="0"/>
        <w:bidi w:val="0"/>
        <w:spacing w:line="560" w:lineRule="exact"/>
        <w:ind w:left="0" w:leftChars="0" w:firstLine="0" w:firstLineChars="0"/>
        <w:jc w:val="both"/>
        <w:rPr>
          <w:rFonts w:hint="eastAsia" w:ascii="仿宋_GB2312" w:eastAsia="仿宋_GB2312"/>
          <w:sz w:val="32"/>
          <w:szCs w:val="32"/>
          <w:highlight w:val="none"/>
          <w:lang w:eastAsia="zh-CN"/>
        </w:rPr>
      </w:pPr>
      <w:r>
        <w:rPr>
          <w:rFonts w:hint="default" w:ascii="Times New Roman" w:hAnsi="Times New Roman" w:eastAsia="黑体" w:cs="Times New Roman"/>
          <w:kern w:val="2"/>
          <w:sz w:val="28"/>
          <w:szCs w:val="28"/>
          <w:highlight w:val="none"/>
          <w:lang w:val="en-US" w:eastAsia="zh-CN" w:bidi="ar-SA"/>
        </w:rPr>
        <w:t>十四、其他约定：【</w:t>
      </w:r>
      <w:r>
        <w:rPr>
          <w:rFonts w:hint="eastAsia" w:ascii="仿宋_GB2312" w:eastAsia="仿宋_GB2312"/>
          <w:sz w:val="32"/>
          <w:szCs w:val="32"/>
          <w:highlight w:val="none"/>
          <w:lang w:eastAsia="zh-CN"/>
        </w:rPr>
        <w:t>双方关于民工工资及供应商款项支付补充约定如下：</w:t>
      </w:r>
    </w:p>
    <w:p w14:paraId="4FAC4132">
      <w:pPr>
        <w:pStyle w:val="4"/>
        <w:pageBreakBefore w:val="0"/>
        <w:wordWrap/>
        <w:overflowPunct/>
        <w:topLinePunct w:val="0"/>
        <w:bidi w:val="0"/>
        <w:spacing w:line="560" w:lineRule="exact"/>
        <w:ind w:left="0" w:leftChars="0" w:firstLine="0" w:firstLineChars="0"/>
        <w:jc w:val="both"/>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（1）乙方必须保证按时、足额发放民工工资及支付供应商的款项，甲方有权检查发放、支付情况，并要求提供发放、支付凭证作为进度款的支付依据。</w:t>
      </w:r>
    </w:p>
    <w:p w14:paraId="66803519">
      <w:pPr>
        <w:pStyle w:val="4"/>
        <w:pageBreakBefore w:val="0"/>
        <w:wordWrap/>
        <w:overflowPunct/>
        <w:topLinePunct w:val="0"/>
        <w:bidi w:val="0"/>
        <w:spacing w:line="560" w:lineRule="exact"/>
        <w:ind w:left="0" w:leftChars="0" w:firstLine="0" w:firstLineChars="0"/>
        <w:jc w:val="both"/>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如发现乙方有拖欠民工工资及供应商款项现象的，甲方有权暂缓支付进度款，直至乙方发放到位为止；同时，若发现乙方有拖欠民工工资及供应商款项现象，甲方有权从乙方的应付工程款中直接扣除，并代为支付给相关部门、单位或个人，每发生一次甲方有权要求乙方承担5万元/次的违约金。</w:t>
      </w:r>
    </w:p>
    <w:p w14:paraId="04CBBA9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3）甲方有权对乙方关于农民工工资支付的资金动向进行监管，如因乙方拖欠民工工资，导致政府职能部门、司法部门、劳动监察部门要求、仲裁机构裁决由甲方向民工支付工资的，甲方有权向乙方进行追偿，并要求乙方承担20万元/次的违约金。</w:t>
      </w:r>
    </w:p>
    <w:p w14:paraId="3C51E58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4）为确保双方全面履行合同义务，保障项目在质量、安全及效益方面达到预期目标，双方经协商，就履约管理、安全管理、质量管理及不良行为管理四方面的违约责任承担事宜达成一致，并同意共同遵守执行。如乙方违反相关约定，甲方有权依据附件【3】《合同履约管理补充约定》向其主张相应违约金。</w:t>
      </w:r>
      <w:r>
        <w:rPr>
          <w:rFonts w:hint="default" w:ascii="Times New Roman" w:hAnsi="Times New Roman" w:eastAsia="仿宋_GB2312" w:cs="Times New Roman"/>
          <w:kern w:val="2"/>
          <w:sz w:val="28"/>
          <w:szCs w:val="28"/>
          <w:lang w:val="en-US" w:eastAsia="zh-CN" w:bidi="ar-SA"/>
        </w:rPr>
        <w:t>】</w:t>
      </w:r>
    </w:p>
    <w:p w14:paraId="5F0C7EB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14:paraId="5529CAB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rPr>
        <w:t>附件：</w:t>
      </w: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廉政协议书</w:t>
      </w:r>
    </w:p>
    <w:p w14:paraId="278CAB7C">
      <w:pPr>
        <w:keepNext w:val="0"/>
        <w:keepLines w:val="0"/>
        <w:pageBreakBefore w:val="0"/>
        <w:widowControl w:val="0"/>
        <w:kinsoku/>
        <w:wordWrap/>
        <w:overflowPunct/>
        <w:topLinePunct w:val="0"/>
        <w:autoSpaceDE/>
        <w:autoSpaceDN/>
        <w:bidi w:val="0"/>
        <w:adjustRightInd/>
        <w:snapToGrid/>
        <w:spacing w:line="480" w:lineRule="exact"/>
        <w:ind w:firstLine="1400" w:firstLineChars="5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2.安全生产协议</w:t>
      </w:r>
    </w:p>
    <w:p w14:paraId="2C6879D0">
      <w:pPr>
        <w:keepNext w:val="0"/>
        <w:keepLines w:val="0"/>
        <w:pageBreakBefore w:val="0"/>
        <w:widowControl w:val="0"/>
        <w:kinsoku/>
        <w:wordWrap/>
        <w:overflowPunct/>
        <w:topLinePunct w:val="0"/>
        <w:autoSpaceDE/>
        <w:autoSpaceDN/>
        <w:bidi w:val="0"/>
        <w:adjustRightInd/>
        <w:snapToGrid/>
        <w:spacing w:line="480" w:lineRule="exact"/>
        <w:ind w:firstLine="1400" w:firstLineChars="5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3.合同履约管理补充约定</w:t>
      </w:r>
    </w:p>
    <w:p w14:paraId="0E1028A4">
      <w:pPr>
        <w:spacing w:line="500" w:lineRule="exact"/>
        <w:rPr>
          <w:rFonts w:hint="default" w:ascii="Times New Roman" w:hAnsi="Times New Roman" w:eastAsia="仿宋_GB2312" w:cs="Times New Roman"/>
          <w:sz w:val="24"/>
          <w:szCs w:val="24"/>
        </w:rPr>
      </w:pPr>
    </w:p>
    <w:p w14:paraId="63C9AD45">
      <w:pPr>
        <w:spacing w:line="500" w:lineRule="exact"/>
        <w:rPr>
          <w:rFonts w:hint="default" w:ascii="Times New Roman" w:hAnsi="Times New Roman" w:eastAsia="仿宋_GB2312" w:cs="Times New Roman"/>
          <w:sz w:val="24"/>
          <w:szCs w:val="24"/>
        </w:rPr>
      </w:pPr>
    </w:p>
    <w:p w14:paraId="2F254418">
      <w:pPr>
        <w:spacing w:line="500" w:lineRule="exact"/>
        <w:rPr>
          <w:rFonts w:hint="default" w:ascii="Times New Roman" w:hAnsi="Times New Roman" w:eastAsia="仿宋_GB2312" w:cs="Times New Roman"/>
          <w:sz w:val="24"/>
          <w:szCs w:val="24"/>
        </w:rPr>
      </w:pPr>
    </w:p>
    <w:p w14:paraId="7607D1DC">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0821734B">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（本页为签署页，以下无</w:t>
      </w:r>
      <w:r>
        <w:rPr>
          <w:rFonts w:hint="default" w:ascii="Times New Roman" w:hAnsi="Times New Roman" w:eastAsia="仿宋_GB2312" w:cs="Times New Roman"/>
          <w:sz w:val="24"/>
          <w:szCs w:val="24"/>
          <w:lang w:val="en-US" w:eastAsia="zh-CN"/>
        </w:rPr>
        <w:t>正</w:t>
      </w:r>
      <w:r>
        <w:rPr>
          <w:rFonts w:hint="default" w:ascii="Times New Roman" w:hAnsi="Times New Roman" w:eastAsia="仿宋_GB2312" w:cs="Times New Roman"/>
          <w:sz w:val="24"/>
          <w:szCs w:val="24"/>
        </w:rPr>
        <w:t>文）</w:t>
      </w:r>
    </w:p>
    <w:tbl>
      <w:tblPr>
        <w:tblStyle w:val="6"/>
        <w:tblW w:w="4998" w:type="pct"/>
        <w:jc w:val="center"/>
        <w:tblLayout w:type="autofit"/>
        <w:tblCellMar>
          <w:top w:w="0" w:type="dxa"/>
          <w:left w:w="0" w:type="dxa"/>
          <w:bottom w:w="0" w:type="dxa"/>
          <w:right w:w="0" w:type="dxa"/>
        </w:tblCellMar>
      </w:tblPr>
      <w:tblGrid>
        <w:gridCol w:w="943"/>
        <w:gridCol w:w="242"/>
        <w:gridCol w:w="2881"/>
        <w:gridCol w:w="288"/>
        <w:gridCol w:w="950"/>
        <w:gridCol w:w="242"/>
        <w:gridCol w:w="2856"/>
      </w:tblGrid>
      <w:tr w14:paraId="154B7A5F">
        <w:tblPrEx>
          <w:tblCellMar>
            <w:top w:w="0" w:type="dxa"/>
            <w:left w:w="0" w:type="dxa"/>
            <w:bottom w:w="0" w:type="dxa"/>
            <w:right w:w="0" w:type="dxa"/>
          </w:tblCellMar>
        </w:tblPrEx>
        <w:trPr>
          <w:cantSplit/>
          <w:trHeight w:val="835" w:hRule="atLeast"/>
          <w:jc w:val="center"/>
        </w:trPr>
        <w:tc>
          <w:tcPr>
            <w:tcW w:w="561" w:type="pct"/>
            <w:tcBorders>
              <w:top w:val="nil"/>
              <w:left w:val="nil"/>
              <w:bottom w:val="nil"/>
              <w:right w:val="nil"/>
            </w:tcBorders>
            <w:noWrap w:val="0"/>
            <w:vAlign w:val="top"/>
          </w:tcPr>
          <w:p w14:paraId="005C423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甲    方</w:t>
            </w:r>
          </w:p>
        </w:tc>
        <w:tc>
          <w:tcPr>
            <w:tcW w:w="144" w:type="pct"/>
            <w:tcBorders>
              <w:top w:val="nil"/>
              <w:left w:val="nil"/>
              <w:bottom w:val="nil"/>
              <w:right w:val="nil"/>
            </w:tcBorders>
            <w:noWrap w:val="0"/>
            <w:vAlign w:val="top"/>
          </w:tcPr>
          <w:p w14:paraId="33589BA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w:t>
            </w:r>
          </w:p>
        </w:tc>
        <w:tc>
          <w:tcPr>
            <w:tcW w:w="1713" w:type="pct"/>
            <w:tcBorders>
              <w:top w:val="nil"/>
              <w:left w:val="nil"/>
              <w:bottom w:val="nil"/>
              <w:right w:val="nil"/>
            </w:tcBorders>
            <w:noWrap w:val="0"/>
            <w:vAlign w:val="top"/>
          </w:tcPr>
          <w:p w14:paraId="631EA18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溧阳水务市政工程有限公司</w:t>
            </w:r>
          </w:p>
        </w:tc>
        <w:tc>
          <w:tcPr>
            <w:tcW w:w="171" w:type="pct"/>
            <w:tcBorders>
              <w:top w:val="nil"/>
              <w:left w:val="nil"/>
              <w:bottom w:val="nil"/>
              <w:right w:val="nil"/>
            </w:tcBorders>
            <w:noWrap w:val="0"/>
            <w:vAlign w:val="top"/>
          </w:tcPr>
          <w:p w14:paraId="1AD1B2B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2A35084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bidi="ar"/>
              </w:rPr>
              <w:t>乙    方</w:t>
            </w:r>
          </w:p>
        </w:tc>
        <w:tc>
          <w:tcPr>
            <w:tcW w:w="144" w:type="pct"/>
            <w:tcBorders>
              <w:top w:val="nil"/>
              <w:left w:val="nil"/>
              <w:bottom w:val="nil"/>
              <w:right w:val="nil"/>
            </w:tcBorders>
            <w:noWrap w:val="0"/>
            <w:vAlign w:val="top"/>
          </w:tcPr>
          <w:p w14:paraId="246172F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3789F2E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安徽春和诚建设工程有限公司</w:t>
            </w:r>
          </w:p>
        </w:tc>
      </w:tr>
      <w:tr w14:paraId="140DCAA6">
        <w:tblPrEx>
          <w:tblCellMar>
            <w:top w:w="0" w:type="dxa"/>
            <w:left w:w="0" w:type="dxa"/>
            <w:bottom w:w="0" w:type="dxa"/>
            <w:right w:w="0" w:type="dxa"/>
          </w:tblCellMar>
        </w:tblPrEx>
        <w:trPr>
          <w:cantSplit/>
          <w:trHeight w:val="275" w:hRule="atLeast"/>
          <w:jc w:val="center"/>
        </w:trPr>
        <w:tc>
          <w:tcPr>
            <w:tcW w:w="561" w:type="pct"/>
            <w:tcBorders>
              <w:top w:val="nil"/>
              <w:left w:val="nil"/>
              <w:bottom w:val="nil"/>
              <w:right w:val="nil"/>
            </w:tcBorders>
            <w:noWrap w:val="0"/>
            <w:vAlign w:val="top"/>
          </w:tcPr>
          <w:p w14:paraId="58981F2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14:paraId="1B5E484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1163C28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1B412F2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59E728A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（盖章）</w:t>
            </w:r>
          </w:p>
        </w:tc>
        <w:tc>
          <w:tcPr>
            <w:tcW w:w="144" w:type="pct"/>
            <w:tcBorders>
              <w:top w:val="nil"/>
              <w:left w:val="nil"/>
              <w:bottom w:val="nil"/>
              <w:right w:val="nil"/>
            </w:tcBorders>
            <w:noWrap w:val="0"/>
            <w:vAlign w:val="top"/>
          </w:tcPr>
          <w:p w14:paraId="249A575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285485C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78D6510">
        <w:tblPrEx>
          <w:tblCellMar>
            <w:top w:w="0" w:type="dxa"/>
            <w:left w:w="0" w:type="dxa"/>
            <w:bottom w:w="0" w:type="dxa"/>
            <w:right w:w="0" w:type="dxa"/>
          </w:tblCellMar>
        </w:tblPrEx>
        <w:trPr>
          <w:cantSplit/>
          <w:trHeight w:val="623" w:hRule="atLeast"/>
          <w:jc w:val="center"/>
        </w:trPr>
        <w:tc>
          <w:tcPr>
            <w:tcW w:w="561" w:type="pct"/>
            <w:tcBorders>
              <w:top w:val="nil"/>
              <w:left w:val="nil"/>
              <w:bottom w:val="nil"/>
              <w:right w:val="nil"/>
            </w:tcBorders>
            <w:noWrap w:val="0"/>
            <w:vAlign w:val="top"/>
          </w:tcPr>
          <w:p w14:paraId="4874F15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54A188B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5108531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14:paraId="158AE1A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02AF667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6EEF54E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7B2227C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2405783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00BA2DF1">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6DFB8BA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14:paraId="50BA1A9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14:paraId="343945E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u w:val="single"/>
                <w:lang w:val="en-US" w:eastAsia="zh-CN"/>
              </w:rPr>
              <w:t>黄文忠</w:t>
            </w:r>
          </w:p>
        </w:tc>
        <w:tc>
          <w:tcPr>
            <w:tcW w:w="171" w:type="pct"/>
            <w:tcBorders>
              <w:top w:val="nil"/>
              <w:left w:val="nil"/>
              <w:bottom w:val="nil"/>
              <w:right w:val="nil"/>
            </w:tcBorders>
            <w:noWrap w:val="0"/>
            <w:vAlign w:val="top"/>
          </w:tcPr>
          <w:p w14:paraId="138971E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14:paraId="2481601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法定代表人</w:t>
            </w:r>
          </w:p>
        </w:tc>
        <w:tc>
          <w:tcPr>
            <w:tcW w:w="144" w:type="pct"/>
            <w:tcBorders>
              <w:top w:val="nil"/>
              <w:left w:val="nil"/>
              <w:bottom w:val="nil"/>
              <w:right w:val="nil"/>
            </w:tcBorders>
            <w:noWrap w:val="0"/>
            <w:vAlign w:val="top"/>
          </w:tcPr>
          <w:p w14:paraId="18A0EF3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2B49369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u w:val="single"/>
                <w:lang w:val="en-US" w:eastAsia="zh-CN"/>
              </w:rPr>
              <w:t>张春琪</w:t>
            </w:r>
          </w:p>
        </w:tc>
      </w:tr>
      <w:tr w14:paraId="1A12EE9D">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22EA593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14:paraId="1F614F4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2"/>
                <w:sz w:val="22"/>
                <w:szCs w:val="22"/>
                <w:lang w:val="en-US" w:eastAsia="zh-CN" w:bidi="ar"/>
              </w:rPr>
              <w:t>:</w:t>
            </w:r>
          </w:p>
        </w:tc>
        <w:tc>
          <w:tcPr>
            <w:tcW w:w="1713" w:type="pct"/>
            <w:tcBorders>
              <w:top w:val="nil"/>
              <w:left w:val="nil"/>
              <w:bottom w:val="nil"/>
              <w:right w:val="nil"/>
            </w:tcBorders>
            <w:noWrap w:val="0"/>
            <w:vAlign w:val="top"/>
          </w:tcPr>
          <w:p w14:paraId="56180CA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74D349D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rPr>
            </w:pPr>
          </w:p>
        </w:tc>
        <w:tc>
          <w:tcPr>
            <w:tcW w:w="565" w:type="pct"/>
            <w:tcBorders>
              <w:top w:val="nil"/>
              <w:left w:val="nil"/>
              <w:bottom w:val="nil"/>
              <w:right w:val="nil"/>
            </w:tcBorders>
            <w:noWrap w:val="0"/>
            <w:vAlign w:val="top"/>
          </w:tcPr>
          <w:p w14:paraId="5602DF2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签约代表</w:t>
            </w:r>
          </w:p>
        </w:tc>
        <w:tc>
          <w:tcPr>
            <w:tcW w:w="144" w:type="pct"/>
            <w:tcBorders>
              <w:top w:val="nil"/>
              <w:left w:val="nil"/>
              <w:bottom w:val="nil"/>
              <w:right w:val="nil"/>
            </w:tcBorders>
            <w:noWrap w:val="0"/>
            <w:vAlign w:val="top"/>
          </w:tcPr>
          <w:p w14:paraId="2B83AF8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244CDB3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0447FE1D">
        <w:tblPrEx>
          <w:tblCellMar>
            <w:top w:w="0" w:type="dxa"/>
            <w:left w:w="0" w:type="dxa"/>
            <w:bottom w:w="0" w:type="dxa"/>
            <w:right w:w="0" w:type="dxa"/>
          </w:tblCellMar>
        </w:tblPrEx>
        <w:trPr>
          <w:cantSplit/>
          <w:trHeight w:val="758" w:hRule="atLeast"/>
          <w:jc w:val="center"/>
        </w:trPr>
        <w:tc>
          <w:tcPr>
            <w:tcW w:w="561" w:type="pct"/>
            <w:tcBorders>
              <w:top w:val="nil"/>
              <w:left w:val="nil"/>
              <w:bottom w:val="nil"/>
              <w:right w:val="nil"/>
            </w:tcBorders>
            <w:noWrap w:val="0"/>
            <w:vAlign w:val="top"/>
          </w:tcPr>
          <w:p w14:paraId="474AFF6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14:paraId="000F922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4763D0A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p w14:paraId="0CE9529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6DEB5D7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3D139C7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（签字）</w:t>
            </w:r>
          </w:p>
        </w:tc>
        <w:tc>
          <w:tcPr>
            <w:tcW w:w="144" w:type="pct"/>
            <w:tcBorders>
              <w:top w:val="nil"/>
              <w:left w:val="nil"/>
              <w:bottom w:val="nil"/>
              <w:right w:val="nil"/>
            </w:tcBorders>
            <w:noWrap w:val="0"/>
            <w:vAlign w:val="top"/>
          </w:tcPr>
          <w:p w14:paraId="7CCAEFD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06563B5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591CF266">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0D3427B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14:paraId="2AD951D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334B8A3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036723E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2432A3C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签署日期</w:t>
            </w:r>
          </w:p>
        </w:tc>
        <w:tc>
          <w:tcPr>
            <w:tcW w:w="144" w:type="pct"/>
            <w:tcBorders>
              <w:top w:val="nil"/>
              <w:left w:val="nil"/>
              <w:bottom w:val="nil"/>
              <w:right w:val="nil"/>
            </w:tcBorders>
            <w:noWrap w:val="0"/>
            <w:vAlign w:val="top"/>
          </w:tcPr>
          <w:p w14:paraId="69E4B37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263E15E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1F28C32">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15D060A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553A195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713" w:type="pct"/>
            <w:tcBorders>
              <w:top w:val="nil"/>
              <w:left w:val="nil"/>
              <w:bottom w:val="nil"/>
              <w:right w:val="nil"/>
            </w:tcBorders>
            <w:noWrap w:val="0"/>
            <w:vAlign w:val="top"/>
          </w:tcPr>
          <w:p w14:paraId="7800F02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7AD6E90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F20B29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3B33EC8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bidi="ar"/>
              </w:rPr>
            </w:pPr>
          </w:p>
        </w:tc>
        <w:tc>
          <w:tcPr>
            <w:tcW w:w="1698" w:type="pct"/>
            <w:tcBorders>
              <w:top w:val="nil"/>
              <w:left w:val="nil"/>
              <w:bottom w:val="nil"/>
              <w:right w:val="nil"/>
            </w:tcBorders>
            <w:noWrap w:val="0"/>
            <w:vAlign w:val="top"/>
          </w:tcPr>
          <w:p w14:paraId="4A55674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228F5825">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58295EE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14:paraId="1466423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09E71BE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 xml:space="preserve"> </w:t>
            </w:r>
            <w:r>
              <w:rPr>
                <w:rFonts w:hint="eastAsia" w:ascii="Times New Roman" w:hAnsi="Times New Roman" w:eastAsia="仿宋_GB2312" w:cs="Times New Roman"/>
                <w:color w:val="000000"/>
                <w:kern w:val="2"/>
                <w:sz w:val="22"/>
                <w:szCs w:val="22"/>
                <w:lang w:val="en-US" w:eastAsia="zh-CN"/>
              </w:rPr>
              <w:t>溧阳市溧城镇平陵西路31号</w:t>
            </w:r>
          </w:p>
        </w:tc>
        <w:tc>
          <w:tcPr>
            <w:tcW w:w="171" w:type="pct"/>
            <w:tcBorders>
              <w:top w:val="nil"/>
              <w:left w:val="nil"/>
              <w:bottom w:val="nil"/>
              <w:right w:val="nil"/>
            </w:tcBorders>
            <w:noWrap w:val="0"/>
            <w:vAlign w:val="top"/>
          </w:tcPr>
          <w:p w14:paraId="71FA45E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C0236F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联络地址</w:t>
            </w:r>
          </w:p>
        </w:tc>
        <w:tc>
          <w:tcPr>
            <w:tcW w:w="144" w:type="pct"/>
            <w:tcBorders>
              <w:top w:val="nil"/>
              <w:left w:val="nil"/>
              <w:bottom w:val="nil"/>
              <w:right w:val="nil"/>
            </w:tcBorders>
            <w:noWrap w:val="0"/>
            <w:vAlign w:val="top"/>
          </w:tcPr>
          <w:p w14:paraId="7EFB886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158FC7BD">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金寨县现代产业园区莲花山路乐汇城A栋10楼</w:t>
            </w:r>
          </w:p>
        </w:tc>
      </w:tr>
      <w:tr w14:paraId="2E847689">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3BDE323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228528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19B9CF3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18FCEE8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25BF8EC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6B9F1DE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10511F8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54E8CE60">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30379D6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14:paraId="4E8B237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14:paraId="7AD9E63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交通银行常州溧阳支行</w:t>
            </w:r>
          </w:p>
        </w:tc>
        <w:tc>
          <w:tcPr>
            <w:tcW w:w="171" w:type="pct"/>
            <w:tcBorders>
              <w:top w:val="nil"/>
              <w:left w:val="nil"/>
              <w:bottom w:val="nil"/>
              <w:right w:val="nil"/>
            </w:tcBorders>
            <w:noWrap w:val="0"/>
            <w:vAlign w:val="top"/>
          </w:tcPr>
          <w:p w14:paraId="527C930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217D49B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开户银行</w:t>
            </w:r>
          </w:p>
        </w:tc>
        <w:tc>
          <w:tcPr>
            <w:tcW w:w="144" w:type="pct"/>
            <w:tcBorders>
              <w:top w:val="nil"/>
              <w:left w:val="nil"/>
              <w:bottom w:val="nil"/>
              <w:right w:val="nil"/>
            </w:tcBorders>
            <w:noWrap w:val="0"/>
            <w:vAlign w:val="top"/>
          </w:tcPr>
          <w:p w14:paraId="48BAA9B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698" w:type="pct"/>
            <w:tcBorders>
              <w:top w:val="nil"/>
              <w:left w:val="nil"/>
              <w:bottom w:val="nil"/>
              <w:right w:val="nil"/>
            </w:tcBorders>
            <w:noWrap w:val="0"/>
            <w:vAlign w:val="top"/>
          </w:tcPr>
          <w:p w14:paraId="1635EE2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eastAsia" w:ascii="Times New Roman" w:hAnsi="Times New Roman" w:eastAsia="仿宋_GB2312" w:cs="Times New Roman"/>
                <w:color w:val="000000"/>
                <w:kern w:val="2"/>
                <w:sz w:val="22"/>
                <w:szCs w:val="22"/>
                <w:lang w:val="en-US" w:eastAsia="zh-CN"/>
              </w:rPr>
              <w:t>徽商银行股份有限公司六安金寨支行</w:t>
            </w:r>
          </w:p>
        </w:tc>
      </w:tr>
      <w:tr w14:paraId="2F4A4D93">
        <w:tblPrEx>
          <w:tblCellMar>
            <w:top w:w="0" w:type="dxa"/>
            <w:left w:w="0" w:type="dxa"/>
            <w:bottom w:w="0" w:type="dxa"/>
            <w:right w:w="0" w:type="dxa"/>
          </w:tblCellMar>
        </w:tblPrEx>
        <w:trPr>
          <w:cantSplit/>
          <w:trHeight w:val="283" w:hRule="atLeast"/>
          <w:jc w:val="center"/>
        </w:trPr>
        <w:tc>
          <w:tcPr>
            <w:tcW w:w="561" w:type="pct"/>
            <w:tcBorders>
              <w:top w:val="nil"/>
              <w:left w:val="nil"/>
              <w:bottom w:val="nil"/>
              <w:right w:val="nil"/>
            </w:tcBorders>
            <w:noWrap w:val="0"/>
            <w:vAlign w:val="top"/>
          </w:tcPr>
          <w:p w14:paraId="47348FD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5E9E026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4F82043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4BD4A3A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2F2A2DA9">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177E4FF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2D8830B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61A5F468">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04AD134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14:paraId="0627C86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w:t>
            </w:r>
          </w:p>
        </w:tc>
        <w:tc>
          <w:tcPr>
            <w:tcW w:w="1713" w:type="pct"/>
            <w:tcBorders>
              <w:top w:val="nil"/>
              <w:left w:val="nil"/>
              <w:bottom w:val="nil"/>
              <w:right w:val="nil"/>
            </w:tcBorders>
            <w:noWrap w:val="0"/>
            <w:vAlign w:val="top"/>
          </w:tcPr>
          <w:p w14:paraId="0DC2E99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324006100018150386330</w:t>
            </w:r>
            <w:r>
              <w:rPr>
                <w:rFonts w:hint="eastAsia" w:ascii="Times New Roman" w:hAnsi="Times New Roman" w:eastAsia="仿宋_GB2312" w:cs="Times New Roman"/>
                <w:color w:val="000000"/>
                <w:kern w:val="2"/>
                <w:sz w:val="22"/>
                <w:szCs w:val="22"/>
                <w:lang w:val="en-US" w:eastAsia="zh-CN"/>
              </w:rPr>
              <w:t xml:space="preserve"> </w:t>
            </w:r>
          </w:p>
        </w:tc>
        <w:tc>
          <w:tcPr>
            <w:tcW w:w="171" w:type="pct"/>
            <w:tcBorders>
              <w:top w:val="nil"/>
              <w:left w:val="nil"/>
              <w:bottom w:val="nil"/>
              <w:right w:val="nil"/>
            </w:tcBorders>
            <w:noWrap w:val="0"/>
            <w:vAlign w:val="top"/>
          </w:tcPr>
          <w:p w14:paraId="71C6548F">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AD32C9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账    号</w:t>
            </w:r>
          </w:p>
        </w:tc>
        <w:tc>
          <w:tcPr>
            <w:tcW w:w="144" w:type="pct"/>
            <w:tcBorders>
              <w:top w:val="nil"/>
              <w:left w:val="nil"/>
              <w:bottom w:val="nil"/>
              <w:right w:val="nil"/>
            </w:tcBorders>
            <w:noWrap w:val="0"/>
            <w:vAlign w:val="top"/>
          </w:tcPr>
          <w:p w14:paraId="2C64D00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01E26A8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2"/>
                <w:szCs w:val="22"/>
                <w:lang w:val="en-US" w:eastAsia="zh-CN"/>
              </w:rPr>
              <w:t>1761501021000196516</w:t>
            </w:r>
          </w:p>
        </w:tc>
      </w:tr>
      <w:tr w14:paraId="16BFF270">
        <w:tblPrEx>
          <w:tblCellMar>
            <w:top w:w="0" w:type="dxa"/>
            <w:left w:w="0" w:type="dxa"/>
            <w:bottom w:w="0" w:type="dxa"/>
            <w:right w:w="0" w:type="dxa"/>
          </w:tblCellMar>
        </w:tblPrEx>
        <w:trPr>
          <w:cantSplit/>
          <w:trHeight w:val="80" w:hRule="atLeast"/>
          <w:jc w:val="center"/>
        </w:trPr>
        <w:tc>
          <w:tcPr>
            <w:tcW w:w="561" w:type="pct"/>
            <w:tcBorders>
              <w:top w:val="nil"/>
              <w:left w:val="nil"/>
              <w:bottom w:val="nil"/>
              <w:right w:val="nil"/>
            </w:tcBorders>
            <w:noWrap w:val="0"/>
            <w:vAlign w:val="top"/>
          </w:tcPr>
          <w:p w14:paraId="7B1FE54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46158E5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477B367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60CB3F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4B1445A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4B7010B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4875C4A0">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55C82F76">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19B7831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14:paraId="008243C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31AF56D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213300</w:t>
            </w:r>
          </w:p>
        </w:tc>
        <w:tc>
          <w:tcPr>
            <w:tcW w:w="171" w:type="pct"/>
            <w:tcBorders>
              <w:top w:val="nil"/>
              <w:left w:val="nil"/>
              <w:bottom w:val="nil"/>
              <w:right w:val="nil"/>
            </w:tcBorders>
            <w:noWrap w:val="0"/>
            <w:vAlign w:val="top"/>
          </w:tcPr>
          <w:p w14:paraId="34FF9FD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556A564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邮政编码</w:t>
            </w:r>
          </w:p>
        </w:tc>
        <w:tc>
          <w:tcPr>
            <w:tcW w:w="144" w:type="pct"/>
            <w:tcBorders>
              <w:top w:val="nil"/>
              <w:left w:val="nil"/>
              <w:bottom w:val="nil"/>
              <w:right w:val="nil"/>
            </w:tcBorders>
            <w:noWrap w:val="0"/>
            <w:vAlign w:val="top"/>
          </w:tcPr>
          <w:p w14:paraId="51A5B8CE">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00C0265A">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r>
              <w:rPr>
                <w:rFonts w:hint="default" w:ascii="Times New Roman" w:hAnsi="Times New Roman" w:eastAsia="仿宋_GB2312" w:cs="Times New Roman"/>
                <w:color w:val="000000"/>
                <w:kern w:val="2"/>
                <w:sz w:val="24"/>
                <w:szCs w:val="24"/>
                <w:lang w:val="en-US" w:eastAsia="zh-CN"/>
              </w:rPr>
              <w:t>237300</w:t>
            </w:r>
          </w:p>
        </w:tc>
      </w:tr>
      <w:tr w14:paraId="1560F174">
        <w:tblPrEx>
          <w:tblCellMar>
            <w:top w:w="0" w:type="dxa"/>
            <w:left w:w="0" w:type="dxa"/>
            <w:bottom w:w="0" w:type="dxa"/>
            <w:right w:w="0" w:type="dxa"/>
          </w:tblCellMar>
        </w:tblPrEx>
        <w:trPr>
          <w:cantSplit/>
          <w:trHeight w:val="80" w:hRule="atLeast"/>
          <w:jc w:val="center"/>
        </w:trPr>
        <w:tc>
          <w:tcPr>
            <w:tcW w:w="561" w:type="pct"/>
            <w:tcBorders>
              <w:top w:val="nil"/>
              <w:left w:val="nil"/>
              <w:bottom w:val="nil"/>
              <w:right w:val="nil"/>
            </w:tcBorders>
            <w:noWrap w:val="0"/>
            <w:vAlign w:val="top"/>
          </w:tcPr>
          <w:p w14:paraId="240231F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44FA5E24">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3F0676A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1474190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19E7BC4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144" w:type="pct"/>
            <w:tcBorders>
              <w:top w:val="nil"/>
              <w:left w:val="nil"/>
              <w:bottom w:val="nil"/>
              <w:right w:val="nil"/>
            </w:tcBorders>
            <w:noWrap w:val="0"/>
            <w:vAlign w:val="top"/>
          </w:tcPr>
          <w:p w14:paraId="041B866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70802BC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4309016D">
        <w:tblPrEx>
          <w:tblCellMar>
            <w:top w:w="0" w:type="dxa"/>
            <w:left w:w="0" w:type="dxa"/>
            <w:bottom w:w="0" w:type="dxa"/>
            <w:right w:w="0" w:type="dxa"/>
          </w:tblCellMar>
        </w:tblPrEx>
        <w:trPr>
          <w:cantSplit/>
          <w:trHeight w:val="454" w:hRule="atLeast"/>
          <w:jc w:val="center"/>
        </w:trPr>
        <w:tc>
          <w:tcPr>
            <w:tcW w:w="561" w:type="pct"/>
            <w:tcBorders>
              <w:top w:val="nil"/>
              <w:left w:val="nil"/>
              <w:bottom w:val="nil"/>
              <w:right w:val="nil"/>
            </w:tcBorders>
            <w:noWrap w:val="0"/>
            <w:vAlign w:val="top"/>
          </w:tcPr>
          <w:p w14:paraId="6E7FEA3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14:paraId="1486EE52">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77385C9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7C612F8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7140CA1B">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电    话</w:t>
            </w:r>
          </w:p>
        </w:tc>
        <w:tc>
          <w:tcPr>
            <w:tcW w:w="144" w:type="pct"/>
            <w:tcBorders>
              <w:top w:val="nil"/>
              <w:left w:val="nil"/>
              <w:bottom w:val="nil"/>
              <w:right w:val="nil"/>
            </w:tcBorders>
            <w:noWrap w:val="0"/>
            <w:vAlign w:val="top"/>
          </w:tcPr>
          <w:p w14:paraId="149C2B5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0023B63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79395749">
        <w:tblPrEx>
          <w:tblCellMar>
            <w:top w:w="0" w:type="dxa"/>
            <w:left w:w="0" w:type="dxa"/>
            <w:bottom w:w="0" w:type="dxa"/>
            <w:right w:w="0" w:type="dxa"/>
          </w:tblCellMar>
        </w:tblPrEx>
        <w:trPr>
          <w:cantSplit/>
          <w:trHeight w:val="381" w:hRule="atLeast"/>
          <w:jc w:val="center"/>
        </w:trPr>
        <w:tc>
          <w:tcPr>
            <w:tcW w:w="561" w:type="pct"/>
            <w:tcBorders>
              <w:top w:val="nil"/>
              <w:left w:val="nil"/>
              <w:bottom w:val="nil"/>
              <w:right w:val="nil"/>
            </w:tcBorders>
            <w:noWrap w:val="0"/>
            <w:vAlign w:val="top"/>
          </w:tcPr>
          <w:p w14:paraId="3B2A0EC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2C7E6328">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713" w:type="pct"/>
            <w:tcBorders>
              <w:top w:val="nil"/>
              <w:left w:val="nil"/>
              <w:bottom w:val="nil"/>
              <w:right w:val="nil"/>
            </w:tcBorders>
            <w:noWrap w:val="0"/>
            <w:vAlign w:val="top"/>
          </w:tcPr>
          <w:p w14:paraId="2F43712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1F9F549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565" w:type="pct"/>
            <w:tcBorders>
              <w:top w:val="nil"/>
              <w:left w:val="nil"/>
              <w:bottom w:val="nil"/>
              <w:right w:val="nil"/>
            </w:tcBorders>
            <w:noWrap w:val="0"/>
            <w:vAlign w:val="top"/>
          </w:tcPr>
          <w:p w14:paraId="0A21F94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44" w:type="pct"/>
            <w:tcBorders>
              <w:top w:val="nil"/>
              <w:left w:val="nil"/>
              <w:bottom w:val="nil"/>
              <w:right w:val="nil"/>
            </w:tcBorders>
            <w:noWrap w:val="0"/>
            <w:vAlign w:val="top"/>
          </w:tcPr>
          <w:p w14:paraId="2BFE0B26">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p>
        </w:tc>
        <w:tc>
          <w:tcPr>
            <w:tcW w:w="1698" w:type="pct"/>
            <w:tcBorders>
              <w:top w:val="nil"/>
              <w:left w:val="nil"/>
              <w:bottom w:val="nil"/>
              <w:right w:val="nil"/>
            </w:tcBorders>
            <w:noWrap w:val="0"/>
            <w:vAlign w:val="top"/>
          </w:tcPr>
          <w:p w14:paraId="7A057795">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r w14:paraId="02D0330A">
        <w:tblPrEx>
          <w:tblCellMar>
            <w:top w:w="0" w:type="dxa"/>
            <w:left w:w="0" w:type="dxa"/>
            <w:bottom w:w="0" w:type="dxa"/>
            <w:right w:w="0" w:type="dxa"/>
          </w:tblCellMar>
        </w:tblPrEx>
        <w:trPr>
          <w:cantSplit/>
          <w:trHeight w:val="573" w:hRule="atLeast"/>
          <w:jc w:val="center"/>
        </w:trPr>
        <w:tc>
          <w:tcPr>
            <w:tcW w:w="561" w:type="pct"/>
            <w:tcBorders>
              <w:top w:val="nil"/>
              <w:left w:val="nil"/>
              <w:bottom w:val="nil"/>
              <w:right w:val="nil"/>
            </w:tcBorders>
            <w:noWrap w:val="0"/>
            <w:vAlign w:val="top"/>
          </w:tcPr>
          <w:p w14:paraId="05F2951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14:paraId="0AFA576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713" w:type="pct"/>
            <w:tcBorders>
              <w:top w:val="nil"/>
              <w:left w:val="nil"/>
              <w:bottom w:val="nil"/>
              <w:right w:val="nil"/>
            </w:tcBorders>
            <w:noWrap w:val="0"/>
            <w:vAlign w:val="top"/>
          </w:tcPr>
          <w:p w14:paraId="37196333">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c>
          <w:tcPr>
            <w:tcW w:w="171" w:type="pct"/>
            <w:tcBorders>
              <w:top w:val="nil"/>
              <w:left w:val="nil"/>
              <w:bottom w:val="nil"/>
              <w:right w:val="nil"/>
            </w:tcBorders>
            <w:noWrap w:val="0"/>
            <w:vAlign w:val="top"/>
          </w:tcPr>
          <w:p w14:paraId="5833DC4D">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p>
        </w:tc>
        <w:tc>
          <w:tcPr>
            <w:tcW w:w="565" w:type="pct"/>
            <w:tcBorders>
              <w:top w:val="nil"/>
              <w:left w:val="nil"/>
              <w:bottom w:val="nil"/>
              <w:right w:val="nil"/>
            </w:tcBorders>
            <w:noWrap w:val="0"/>
            <w:vAlign w:val="top"/>
          </w:tcPr>
          <w:p w14:paraId="25D7B4FC">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2"/>
                <w:szCs w:val="22"/>
                <w:lang w:val="en-US" w:eastAsia="zh-CN"/>
              </w:rPr>
            </w:pPr>
            <w:r>
              <w:rPr>
                <w:rFonts w:hint="default" w:ascii="Times New Roman" w:hAnsi="Times New Roman" w:eastAsia="仿宋_GB2312" w:cs="Times New Roman"/>
                <w:color w:val="000000"/>
                <w:kern w:val="2"/>
                <w:sz w:val="22"/>
                <w:szCs w:val="22"/>
                <w:lang w:val="en-US" w:eastAsia="zh-CN"/>
              </w:rPr>
              <w:t>传    真</w:t>
            </w:r>
          </w:p>
        </w:tc>
        <w:tc>
          <w:tcPr>
            <w:tcW w:w="144" w:type="pct"/>
            <w:tcBorders>
              <w:top w:val="nil"/>
              <w:left w:val="nil"/>
              <w:bottom w:val="nil"/>
              <w:right w:val="nil"/>
            </w:tcBorders>
            <w:noWrap w:val="0"/>
            <w:vAlign w:val="top"/>
          </w:tcPr>
          <w:p w14:paraId="0CB9A201">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w:t>
            </w:r>
          </w:p>
        </w:tc>
        <w:tc>
          <w:tcPr>
            <w:tcW w:w="1698" w:type="pct"/>
            <w:tcBorders>
              <w:top w:val="nil"/>
              <w:left w:val="nil"/>
              <w:bottom w:val="nil"/>
              <w:right w:val="nil"/>
            </w:tcBorders>
            <w:noWrap w:val="0"/>
            <w:vAlign w:val="top"/>
          </w:tcPr>
          <w:p w14:paraId="00FDDC27">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Times New Roman" w:hAnsi="Times New Roman" w:eastAsia="仿宋_GB2312" w:cs="Times New Roman"/>
                <w:color w:val="000000"/>
                <w:kern w:val="2"/>
                <w:sz w:val="24"/>
                <w:szCs w:val="24"/>
                <w:lang w:val="en-US" w:eastAsia="zh-CN"/>
              </w:rPr>
            </w:pPr>
          </w:p>
        </w:tc>
      </w:tr>
    </w:tbl>
    <w:p w14:paraId="6467E6C9">
      <w:pPr>
        <w:spacing w:line="500" w:lineRule="exact"/>
        <w:rPr>
          <w:rFonts w:hint="default" w:ascii="Times New Roman" w:hAnsi="Times New Roman" w:eastAsia="仿宋" w:cs="Times New Roman"/>
          <w:sz w:val="24"/>
          <w:szCs w:val="24"/>
        </w:rPr>
        <w:sectPr>
          <w:pgSz w:w="11906" w:h="16838"/>
          <w:pgMar w:top="1502" w:right="1800" w:bottom="1123" w:left="1701" w:header="851" w:footer="992" w:gutter="0"/>
          <w:cols w:space="720" w:num="1"/>
          <w:docGrid w:type="lines" w:linePitch="312" w:charSpace="0"/>
        </w:sectPr>
      </w:pPr>
    </w:p>
    <w:p w14:paraId="1A270C02">
      <w:pPr>
        <w:pageBreakBefore w:val="0"/>
        <w:wordWrap/>
        <w:overflowPunct/>
        <w:topLinePunct w:val="0"/>
        <w:bidi w:val="0"/>
        <w:spacing w:before="68" w:line="560" w:lineRule="exact"/>
        <w:ind w:left="0" w:leftChars="0" w:firstLine="0" w:firstLineChars="0"/>
        <w:jc w:val="both"/>
        <w:outlineLvl w:val="9"/>
        <w:rPr>
          <w:rFonts w:hint="eastAsia" w:ascii="仿宋_GB2312" w:hAnsi="黑体" w:eastAsia="仿宋_GB2312" w:cs="黑体"/>
          <w:sz w:val="32"/>
          <w:szCs w:val="32"/>
          <w:lang w:eastAsia="zh-CN"/>
        </w:rPr>
      </w:pPr>
      <w:r>
        <w:rPr>
          <w:rFonts w:hint="eastAsia" w:ascii="仿宋_GB2312" w:hAnsi="黑体" w:eastAsia="仿宋_GB2312" w:cs="黑体"/>
          <w:spacing w:val="-6"/>
          <w:sz w:val="32"/>
          <w:szCs w:val="32"/>
          <w:lang w:eastAsia="zh-CN"/>
        </w:rPr>
        <w:t>附件</w:t>
      </w:r>
      <w:r>
        <w:rPr>
          <w:rFonts w:hint="eastAsia" w:ascii="仿宋_GB2312" w:hAnsi="黑体" w:eastAsia="仿宋_GB2312" w:cs="黑体"/>
          <w:spacing w:val="-40"/>
          <w:sz w:val="32"/>
          <w:szCs w:val="32"/>
          <w:lang w:eastAsia="zh-CN"/>
        </w:rPr>
        <w:t xml:space="preserve"> </w:t>
      </w:r>
      <w:r>
        <w:rPr>
          <w:rFonts w:hint="eastAsia" w:ascii="仿宋_GB2312" w:hAnsi="黑体" w:eastAsia="仿宋_GB2312" w:cs="黑体"/>
          <w:spacing w:val="-6"/>
          <w:sz w:val="32"/>
          <w:szCs w:val="32"/>
          <w:lang w:val="en-US" w:eastAsia="zh-CN"/>
        </w:rPr>
        <w:t>1</w:t>
      </w:r>
    </w:p>
    <w:p w14:paraId="3F25380D">
      <w:pPr>
        <w:bidi w:val="0"/>
        <w:jc w:val="center"/>
        <w:rPr>
          <w:rStyle w:val="11"/>
          <w:rFonts w:hint="eastAsia" w:ascii="方正小标宋简体" w:hAnsi="方正小标宋简体" w:eastAsia="方正小标宋简体" w:cs="方正小标宋简体"/>
          <w:b w:val="0"/>
          <w:bCs w:val="0"/>
          <w:sz w:val="44"/>
          <w:szCs w:val="44"/>
        </w:rPr>
      </w:pPr>
      <w:r>
        <w:rPr>
          <w:rStyle w:val="11"/>
          <w:rFonts w:hint="eastAsia" w:ascii="方正小标宋简体" w:hAnsi="方正小标宋简体" w:eastAsia="方正小标宋简体" w:cs="方正小标宋简体"/>
          <w:b w:val="0"/>
          <w:bCs w:val="0"/>
          <w:sz w:val="44"/>
          <w:szCs w:val="44"/>
        </w:rPr>
        <w:t>廉政协议书</w:t>
      </w:r>
    </w:p>
    <w:tbl>
      <w:tblPr>
        <w:tblStyle w:val="6"/>
        <w:tblW w:w="8409" w:type="dxa"/>
        <w:tblInd w:w="204" w:type="dxa"/>
        <w:tblLayout w:type="autofit"/>
        <w:tblCellMar>
          <w:top w:w="0" w:type="dxa"/>
          <w:left w:w="108" w:type="dxa"/>
          <w:bottom w:w="0" w:type="dxa"/>
          <w:right w:w="108" w:type="dxa"/>
        </w:tblCellMar>
      </w:tblPr>
      <w:tblGrid>
        <w:gridCol w:w="2847"/>
        <w:gridCol w:w="5562"/>
      </w:tblGrid>
      <w:tr w14:paraId="6F38F6B3">
        <w:tblPrEx>
          <w:tblCellMar>
            <w:top w:w="0" w:type="dxa"/>
            <w:left w:w="108" w:type="dxa"/>
            <w:bottom w:w="0" w:type="dxa"/>
            <w:right w:w="108" w:type="dxa"/>
          </w:tblCellMar>
        </w:tblPrEx>
        <w:tc>
          <w:tcPr>
            <w:tcW w:w="2847" w:type="dxa"/>
            <w:noWrap w:val="0"/>
            <w:vAlign w:val="top"/>
          </w:tcPr>
          <w:p w14:paraId="00EDD737">
            <w:pPr>
              <w:adjustRightInd w:val="0"/>
              <w:spacing w:line="360" w:lineRule="auto"/>
              <w:jc w:val="left"/>
              <w:rPr>
                <w:rFonts w:ascii="仿宋" w:hAnsi="仿宋" w:eastAsia="仿宋" w:cs="仿宋_GB2312"/>
                <w:sz w:val="28"/>
                <w:szCs w:val="28"/>
              </w:rPr>
            </w:pPr>
            <w:bookmarkStart w:id="0" w:name="OLE_LINK9"/>
            <w:r>
              <w:rPr>
                <w:rFonts w:hint="eastAsia" w:ascii="仿宋" w:hAnsi="仿宋" w:eastAsia="仿宋" w:cs="仿宋_GB2312"/>
                <w:sz w:val="28"/>
                <w:szCs w:val="28"/>
                <w:lang w:eastAsia="zh-CN"/>
              </w:rPr>
              <w:t>甲方</w:t>
            </w:r>
            <w:r>
              <w:rPr>
                <w:rFonts w:hint="eastAsia" w:ascii="仿宋" w:hAnsi="仿宋" w:eastAsia="仿宋" w:cs="仿宋_GB2312"/>
                <w:sz w:val="28"/>
                <w:szCs w:val="28"/>
              </w:rPr>
              <w:t>：</w:t>
            </w:r>
          </w:p>
        </w:tc>
        <w:tc>
          <w:tcPr>
            <w:tcW w:w="5562" w:type="dxa"/>
            <w:noWrap w:val="0"/>
            <w:vAlign w:val="top"/>
          </w:tcPr>
          <w:p w14:paraId="3E9821F6">
            <w:pPr>
              <w:adjustRightInd w:val="0"/>
              <w:spacing w:line="360" w:lineRule="auto"/>
              <w:jc w:val="left"/>
              <w:rPr>
                <w:rFonts w:ascii="仿宋" w:hAnsi="仿宋" w:eastAsia="仿宋" w:cs="仿宋_GB2312"/>
                <w:sz w:val="28"/>
                <w:szCs w:val="28"/>
              </w:rPr>
            </w:pPr>
            <w:permStart w:id="0" w:edGrp="everyone"/>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溧阳水务市政工程有限公司</w:t>
            </w:r>
            <w:r>
              <w:rPr>
                <w:rFonts w:hint="eastAsia" w:ascii="仿宋" w:hAnsi="仿宋" w:eastAsia="仿宋" w:cs="仿宋_GB2312"/>
                <w:sz w:val="28"/>
                <w:szCs w:val="28"/>
                <w:u w:val="single"/>
              </w:rPr>
              <w:t xml:space="preserve">    </w:t>
            </w:r>
            <w:permEnd w:id="0"/>
            <w:r>
              <w:rPr>
                <w:rFonts w:hint="eastAsia" w:ascii="仿宋" w:hAnsi="仿宋" w:eastAsia="仿宋" w:cs="仿宋_GB2312"/>
                <w:sz w:val="28"/>
                <w:szCs w:val="28"/>
                <w:u w:val="single"/>
              </w:rPr>
              <w:t xml:space="preserve">      </w:t>
            </w:r>
          </w:p>
        </w:tc>
      </w:tr>
      <w:tr w14:paraId="01910621">
        <w:tblPrEx>
          <w:tblCellMar>
            <w:top w:w="0" w:type="dxa"/>
            <w:left w:w="108" w:type="dxa"/>
            <w:bottom w:w="0" w:type="dxa"/>
            <w:right w:w="108" w:type="dxa"/>
          </w:tblCellMar>
        </w:tblPrEx>
        <w:tc>
          <w:tcPr>
            <w:tcW w:w="2847" w:type="dxa"/>
            <w:noWrap w:val="0"/>
            <w:vAlign w:val="top"/>
          </w:tcPr>
          <w:p w14:paraId="4B191371">
            <w:pPr>
              <w:adjustRightInd w:val="0"/>
              <w:spacing w:line="360" w:lineRule="auto"/>
              <w:jc w:val="left"/>
              <w:rPr>
                <w:rFonts w:ascii="仿宋" w:hAnsi="仿宋" w:eastAsia="仿宋" w:cs="仿宋_GB2312"/>
                <w:sz w:val="28"/>
                <w:szCs w:val="28"/>
              </w:rPr>
            </w:pPr>
            <w:r>
              <w:rPr>
                <w:rFonts w:hint="eastAsia" w:ascii="仿宋" w:hAnsi="仿宋" w:eastAsia="仿宋" w:cs="仿宋_GB2312"/>
                <w:sz w:val="28"/>
                <w:szCs w:val="28"/>
                <w:lang w:val="en-US" w:eastAsia="zh-CN"/>
              </w:rPr>
              <w:t>法定代表人</w:t>
            </w:r>
            <w:r>
              <w:rPr>
                <w:rFonts w:hint="eastAsia" w:ascii="仿宋" w:hAnsi="仿宋" w:eastAsia="仿宋" w:cs="仿宋_GB2312"/>
                <w:sz w:val="28"/>
                <w:szCs w:val="28"/>
              </w:rPr>
              <w:t>：</w:t>
            </w:r>
          </w:p>
        </w:tc>
        <w:tc>
          <w:tcPr>
            <w:tcW w:w="5562" w:type="dxa"/>
            <w:noWrap w:val="0"/>
            <w:vAlign w:val="top"/>
          </w:tcPr>
          <w:p w14:paraId="371056A0">
            <w:pPr>
              <w:adjustRightInd w:val="0"/>
              <w:spacing w:line="360" w:lineRule="auto"/>
              <w:jc w:val="left"/>
              <w:rPr>
                <w:rFonts w:ascii="仿宋" w:hAnsi="仿宋" w:eastAsia="仿宋" w:cs="仿宋_GB2312"/>
                <w:sz w:val="28"/>
                <w:szCs w:val="28"/>
              </w:rPr>
            </w:pPr>
            <w:permStart w:id="1" w:edGrp="everyone"/>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黄文忠</w:t>
            </w:r>
            <w:r>
              <w:rPr>
                <w:rFonts w:hint="eastAsia" w:ascii="仿宋" w:hAnsi="仿宋" w:eastAsia="仿宋" w:cs="仿宋_GB2312"/>
                <w:sz w:val="28"/>
                <w:szCs w:val="28"/>
                <w:u w:val="single"/>
              </w:rPr>
              <w:t xml:space="preserve">        </w:t>
            </w:r>
            <w:permEnd w:id="1"/>
            <w:r>
              <w:rPr>
                <w:rFonts w:hint="eastAsia" w:ascii="仿宋" w:hAnsi="仿宋" w:eastAsia="仿宋" w:cs="仿宋_GB2312"/>
                <w:sz w:val="28"/>
                <w:szCs w:val="28"/>
                <w:u w:val="single"/>
              </w:rPr>
              <w:t xml:space="preserve">  </w:t>
            </w:r>
          </w:p>
        </w:tc>
      </w:tr>
      <w:tr w14:paraId="26572974">
        <w:tblPrEx>
          <w:tblCellMar>
            <w:top w:w="0" w:type="dxa"/>
            <w:left w:w="108" w:type="dxa"/>
            <w:bottom w:w="0" w:type="dxa"/>
            <w:right w:w="108" w:type="dxa"/>
          </w:tblCellMar>
        </w:tblPrEx>
        <w:tc>
          <w:tcPr>
            <w:tcW w:w="2847" w:type="dxa"/>
            <w:noWrap w:val="0"/>
            <w:vAlign w:val="top"/>
          </w:tcPr>
          <w:p w14:paraId="1405ACAD">
            <w:pPr>
              <w:adjustRightInd w:val="0"/>
              <w:spacing w:line="360" w:lineRule="auto"/>
              <w:jc w:val="left"/>
              <w:rPr>
                <w:rFonts w:hint="eastAsia" w:ascii="仿宋" w:hAnsi="仿宋" w:eastAsia="仿宋" w:cs="仿宋_GB2312"/>
                <w:kern w:val="2"/>
                <w:sz w:val="28"/>
                <w:szCs w:val="28"/>
                <w:lang w:val="en-US" w:eastAsia="zh-CN" w:bidi="ar-SA"/>
              </w:rPr>
            </w:pPr>
            <w:bookmarkStart w:id="1" w:name="OLE_LINK2" w:colFirst="1" w:colLast="1"/>
            <w:r>
              <w:rPr>
                <w:rFonts w:hint="eastAsia" w:ascii="仿宋" w:hAnsi="仿宋" w:eastAsia="仿宋" w:cs="仿宋_GB2312"/>
                <w:sz w:val="28"/>
                <w:szCs w:val="28"/>
                <w:lang w:val="en-US" w:eastAsia="zh-CN"/>
              </w:rPr>
              <w:t>住所地：</w:t>
            </w:r>
          </w:p>
        </w:tc>
        <w:tc>
          <w:tcPr>
            <w:tcW w:w="5562" w:type="dxa"/>
            <w:noWrap w:val="0"/>
            <w:vAlign w:val="top"/>
          </w:tcPr>
          <w:p w14:paraId="28B047E1">
            <w:pPr>
              <w:adjustRightInd w:val="0"/>
              <w:spacing w:line="360" w:lineRule="auto"/>
              <w:jc w:val="left"/>
              <w:rPr>
                <w:rFonts w:hint="eastAsia" w:ascii="仿宋" w:hAnsi="仿宋" w:eastAsia="仿宋" w:cs="仿宋_GB2312"/>
                <w:kern w:val="2"/>
                <w:sz w:val="28"/>
                <w:szCs w:val="28"/>
                <w:lang w:val="en-US" w:eastAsia="zh-CN" w:bidi="ar-SA"/>
              </w:rPr>
            </w:pPr>
            <w:permStart w:id="2" w:edGrp="everyone"/>
            <w:r>
              <w:rPr>
                <w:rFonts w:hint="eastAsia" w:ascii="仿宋" w:hAnsi="仿宋" w:eastAsia="仿宋" w:cs="仿宋_GB2312"/>
                <w:sz w:val="28"/>
                <w:szCs w:val="28"/>
                <w:u w:val="single"/>
              </w:rPr>
              <w:t xml:space="preserve"> 溧阳市溧城镇平陵西路31号      </w:t>
            </w:r>
            <w:permEnd w:id="2"/>
            <w:r>
              <w:rPr>
                <w:rFonts w:hint="eastAsia" w:ascii="仿宋" w:hAnsi="仿宋" w:eastAsia="仿宋" w:cs="仿宋_GB2312"/>
                <w:sz w:val="28"/>
                <w:szCs w:val="28"/>
                <w:u w:val="single"/>
              </w:rPr>
              <w:t xml:space="preserve">  </w:t>
            </w:r>
          </w:p>
        </w:tc>
      </w:tr>
      <w:tr w14:paraId="0A47D837">
        <w:tblPrEx>
          <w:tblCellMar>
            <w:top w:w="0" w:type="dxa"/>
            <w:left w:w="108" w:type="dxa"/>
            <w:bottom w:w="0" w:type="dxa"/>
            <w:right w:w="108" w:type="dxa"/>
          </w:tblCellMar>
        </w:tblPrEx>
        <w:tc>
          <w:tcPr>
            <w:tcW w:w="2847" w:type="dxa"/>
            <w:noWrap w:val="0"/>
            <w:vAlign w:val="top"/>
          </w:tcPr>
          <w:p w14:paraId="50497BE1">
            <w:pPr>
              <w:adjustRightInd w:val="0"/>
              <w:spacing w:line="360" w:lineRule="auto"/>
              <w:jc w:val="left"/>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身份证号/统一社会信用代码：</w:t>
            </w:r>
          </w:p>
        </w:tc>
        <w:tc>
          <w:tcPr>
            <w:tcW w:w="5562" w:type="dxa"/>
            <w:noWrap w:val="0"/>
            <w:vAlign w:val="top"/>
          </w:tcPr>
          <w:p w14:paraId="00387700">
            <w:pPr>
              <w:adjustRightInd w:val="0"/>
              <w:spacing w:line="360" w:lineRule="auto"/>
              <w:jc w:val="left"/>
              <w:rPr>
                <w:rFonts w:hint="eastAsia" w:ascii="仿宋" w:hAnsi="仿宋" w:eastAsia="仿宋" w:cs="仿宋_GB2312"/>
                <w:kern w:val="2"/>
                <w:sz w:val="28"/>
                <w:szCs w:val="28"/>
                <w:lang w:val="en-US" w:eastAsia="zh-CN" w:bidi="ar-SA"/>
              </w:rPr>
            </w:pPr>
            <w:permStart w:id="3" w:edGrp="everyone"/>
            <w:r>
              <w:rPr>
                <w:rFonts w:hint="eastAsia" w:ascii="仿宋" w:hAnsi="仿宋" w:eastAsia="仿宋" w:cs="仿宋_GB2312"/>
                <w:sz w:val="28"/>
                <w:szCs w:val="28"/>
                <w:u w:val="single"/>
              </w:rPr>
              <w:t xml:space="preserve">  91320481569106264P     </w:t>
            </w:r>
            <w:permEnd w:id="3"/>
            <w:r>
              <w:rPr>
                <w:rFonts w:hint="eastAsia" w:ascii="仿宋" w:hAnsi="仿宋" w:eastAsia="仿宋" w:cs="仿宋_GB2312"/>
                <w:sz w:val="28"/>
                <w:szCs w:val="28"/>
                <w:u w:val="single"/>
              </w:rPr>
              <w:t xml:space="preserve">      </w:t>
            </w:r>
          </w:p>
        </w:tc>
      </w:tr>
      <w:bookmarkEnd w:id="1"/>
      <w:tr w14:paraId="77241840">
        <w:tblPrEx>
          <w:tblCellMar>
            <w:top w:w="0" w:type="dxa"/>
            <w:left w:w="108" w:type="dxa"/>
            <w:bottom w:w="0" w:type="dxa"/>
            <w:right w:w="108" w:type="dxa"/>
          </w:tblCellMar>
        </w:tblPrEx>
        <w:tc>
          <w:tcPr>
            <w:tcW w:w="2847" w:type="dxa"/>
            <w:noWrap w:val="0"/>
            <w:vAlign w:val="top"/>
          </w:tcPr>
          <w:p w14:paraId="089A49CE">
            <w:pPr>
              <w:adjustRightInd w:val="0"/>
              <w:spacing w:line="360" w:lineRule="auto"/>
              <w:jc w:val="left"/>
              <w:rPr>
                <w:rFonts w:ascii="仿宋" w:hAnsi="仿宋" w:eastAsia="仿宋" w:cs="仿宋_GB2312"/>
                <w:sz w:val="28"/>
                <w:szCs w:val="28"/>
              </w:rPr>
            </w:pPr>
            <w:bookmarkStart w:id="2" w:name="OLE_LINK8" w:colFirst="1" w:colLast="1"/>
            <w:r>
              <w:rPr>
                <w:rFonts w:hint="eastAsia" w:ascii="仿宋" w:hAnsi="仿宋" w:eastAsia="仿宋" w:cs="仿宋_GB2312"/>
                <w:sz w:val="28"/>
                <w:szCs w:val="28"/>
              </w:rPr>
              <w:t>联系方式：</w:t>
            </w:r>
          </w:p>
        </w:tc>
        <w:tc>
          <w:tcPr>
            <w:tcW w:w="5562" w:type="dxa"/>
            <w:noWrap w:val="0"/>
            <w:vAlign w:val="top"/>
          </w:tcPr>
          <w:p w14:paraId="5858C29D">
            <w:pPr>
              <w:adjustRightInd w:val="0"/>
              <w:spacing w:line="360" w:lineRule="auto"/>
              <w:jc w:val="left"/>
              <w:rPr>
                <w:rFonts w:ascii="仿宋" w:hAnsi="仿宋" w:eastAsia="仿宋" w:cs="仿宋_GB2312"/>
                <w:sz w:val="28"/>
                <w:szCs w:val="28"/>
              </w:rPr>
            </w:pPr>
            <w:permStart w:id="4" w:edGrp="everyone"/>
            <w:r>
              <w:rPr>
                <w:rFonts w:hint="eastAsia" w:ascii="仿宋" w:hAnsi="仿宋" w:eastAsia="仿宋" w:cs="仿宋_GB2312"/>
                <w:sz w:val="28"/>
                <w:szCs w:val="28"/>
                <w:u w:val="single"/>
              </w:rPr>
              <w:t xml:space="preserve">    0519-87597128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u w:val="single"/>
              </w:rPr>
              <w:t xml:space="preserve">          </w:t>
            </w:r>
            <w:permEnd w:id="4"/>
            <w:r>
              <w:rPr>
                <w:rFonts w:hint="eastAsia" w:ascii="仿宋" w:hAnsi="仿宋" w:eastAsia="仿宋" w:cs="仿宋_GB2312"/>
                <w:sz w:val="28"/>
                <w:szCs w:val="28"/>
                <w:u w:val="single"/>
              </w:rPr>
              <w:t xml:space="preserve">  </w:t>
            </w:r>
          </w:p>
        </w:tc>
      </w:tr>
      <w:bookmarkEnd w:id="2"/>
      <w:tr w14:paraId="7B9BE8E4">
        <w:tblPrEx>
          <w:tblCellMar>
            <w:top w:w="0" w:type="dxa"/>
            <w:left w:w="108" w:type="dxa"/>
            <w:bottom w:w="0" w:type="dxa"/>
            <w:right w:w="108" w:type="dxa"/>
          </w:tblCellMar>
        </w:tblPrEx>
        <w:tc>
          <w:tcPr>
            <w:tcW w:w="2847" w:type="dxa"/>
            <w:noWrap w:val="0"/>
            <w:vAlign w:val="top"/>
          </w:tcPr>
          <w:p w14:paraId="1CD0C553">
            <w:pPr>
              <w:adjustRightInd w:val="0"/>
              <w:spacing w:line="360" w:lineRule="auto"/>
              <w:jc w:val="left"/>
              <w:rPr>
                <w:rFonts w:ascii="仿宋" w:hAnsi="仿宋" w:eastAsia="仿宋" w:cs="仿宋_GB2312"/>
                <w:sz w:val="28"/>
                <w:szCs w:val="28"/>
              </w:rPr>
            </w:pPr>
            <w:r>
              <w:rPr>
                <w:rFonts w:hint="eastAsia" w:ascii="仿宋" w:hAnsi="仿宋" w:eastAsia="仿宋" w:cs="仿宋_GB2312"/>
                <w:sz w:val="28"/>
                <w:szCs w:val="28"/>
                <w:lang w:eastAsia="zh-CN"/>
              </w:rPr>
              <w:t>乙方</w:t>
            </w:r>
            <w:r>
              <w:rPr>
                <w:rFonts w:hint="eastAsia" w:ascii="仿宋" w:hAnsi="仿宋" w:eastAsia="仿宋" w:cs="仿宋_GB2312"/>
                <w:sz w:val="28"/>
                <w:szCs w:val="28"/>
              </w:rPr>
              <w:t>：</w:t>
            </w:r>
          </w:p>
        </w:tc>
        <w:tc>
          <w:tcPr>
            <w:tcW w:w="5562" w:type="dxa"/>
            <w:noWrap w:val="0"/>
            <w:vAlign w:val="top"/>
          </w:tcPr>
          <w:p w14:paraId="384536FF">
            <w:pPr>
              <w:adjustRightInd w:val="0"/>
              <w:spacing w:line="360" w:lineRule="auto"/>
              <w:jc w:val="left"/>
              <w:rPr>
                <w:rFonts w:ascii="仿宋" w:hAnsi="仿宋" w:eastAsia="仿宋" w:cs="仿宋_GB2312"/>
                <w:sz w:val="28"/>
                <w:szCs w:val="28"/>
              </w:rPr>
            </w:pPr>
            <w:permStart w:id="5" w:edGrp="everyone"/>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安徽春和诚建设工程有限公司</w:t>
            </w:r>
            <w:r>
              <w:rPr>
                <w:rFonts w:hint="eastAsia" w:ascii="仿宋" w:hAnsi="仿宋" w:eastAsia="仿宋" w:cs="仿宋_GB2312"/>
                <w:sz w:val="28"/>
                <w:szCs w:val="28"/>
                <w:u w:val="single"/>
              </w:rPr>
              <w:t xml:space="preserve">       </w:t>
            </w:r>
            <w:permEnd w:id="5"/>
            <w:r>
              <w:rPr>
                <w:rFonts w:hint="eastAsia" w:ascii="仿宋" w:hAnsi="仿宋" w:eastAsia="仿宋" w:cs="仿宋_GB2312"/>
                <w:sz w:val="28"/>
                <w:szCs w:val="28"/>
                <w:u w:val="single"/>
              </w:rPr>
              <w:t xml:space="preserve">  </w:t>
            </w:r>
          </w:p>
        </w:tc>
      </w:tr>
      <w:tr w14:paraId="017AE360">
        <w:tblPrEx>
          <w:tblCellMar>
            <w:top w:w="0" w:type="dxa"/>
            <w:left w:w="108" w:type="dxa"/>
            <w:bottom w:w="0" w:type="dxa"/>
            <w:right w:w="108" w:type="dxa"/>
          </w:tblCellMar>
        </w:tblPrEx>
        <w:tc>
          <w:tcPr>
            <w:tcW w:w="2847" w:type="dxa"/>
            <w:noWrap w:val="0"/>
            <w:vAlign w:val="top"/>
          </w:tcPr>
          <w:p w14:paraId="06A4D433">
            <w:pPr>
              <w:adjustRightInd w:val="0"/>
              <w:spacing w:line="360" w:lineRule="auto"/>
              <w:jc w:val="lef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法定代表人：</w:t>
            </w:r>
          </w:p>
        </w:tc>
        <w:tc>
          <w:tcPr>
            <w:tcW w:w="5562" w:type="dxa"/>
            <w:noWrap w:val="0"/>
            <w:vAlign w:val="top"/>
          </w:tcPr>
          <w:p w14:paraId="77A35613">
            <w:pPr>
              <w:adjustRightInd w:val="0"/>
              <w:spacing w:line="360" w:lineRule="auto"/>
              <w:jc w:val="left"/>
              <w:rPr>
                <w:rFonts w:hint="eastAsia" w:ascii="仿宋" w:hAnsi="仿宋" w:eastAsia="仿宋" w:cs="仿宋_GB2312"/>
                <w:kern w:val="2"/>
                <w:sz w:val="28"/>
                <w:szCs w:val="28"/>
                <w:lang w:val="en-US" w:eastAsia="zh-CN" w:bidi="ar-SA"/>
              </w:rPr>
            </w:pPr>
            <w:permStart w:id="6" w:edGrp="everyone"/>
            <w:r>
              <w:rPr>
                <w:rFonts w:hint="eastAsia" w:ascii="仿宋" w:hAnsi="仿宋" w:eastAsia="仿宋" w:cs="仿宋_GB2312"/>
                <w:sz w:val="28"/>
                <w:szCs w:val="28"/>
                <w:u w:val="single"/>
              </w:rPr>
              <w:t xml:space="preserve">   张春琪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u w:val="single"/>
              </w:rPr>
              <w:t xml:space="preserve">       </w:t>
            </w:r>
            <w:permEnd w:id="6"/>
            <w:r>
              <w:rPr>
                <w:rFonts w:hint="eastAsia" w:ascii="仿宋" w:hAnsi="仿宋" w:eastAsia="仿宋" w:cs="仿宋_GB2312"/>
                <w:sz w:val="28"/>
                <w:szCs w:val="28"/>
                <w:u w:val="single"/>
              </w:rPr>
              <w:t xml:space="preserve">  </w:t>
            </w:r>
          </w:p>
        </w:tc>
      </w:tr>
      <w:tr w14:paraId="1D68EF7B">
        <w:tblPrEx>
          <w:tblCellMar>
            <w:top w:w="0" w:type="dxa"/>
            <w:left w:w="108" w:type="dxa"/>
            <w:bottom w:w="0" w:type="dxa"/>
            <w:right w:w="108" w:type="dxa"/>
          </w:tblCellMar>
        </w:tblPrEx>
        <w:tc>
          <w:tcPr>
            <w:tcW w:w="2847" w:type="dxa"/>
            <w:noWrap w:val="0"/>
            <w:vAlign w:val="top"/>
          </w:tcPr>
          <w:p w14:paraId="1892E3D8">
            <w:pPr>
              <w:adjustRightInd w:val="0"/>
              <w:spacing w:line="360" w:lineRule="auto"/>
              <w:jc w:val="left"/>
              <w:rPr>
                <w:rFonts w:ascii="仿宋" w:hAnsi="仿宋" w:eastAsia="仿宋" w:cs="仿宋_GB2312"/>
                <w:sz w:val="28"/>
                <w:szCs w:val="28"/>
              </w:rPr>
            </w:pPr>
            <w:r>
              <w:rPr>
                <w:rFonts w:hint="eastAsia" w:ascii="仿宋" w:hAnsi="仿宋" w:eastAsia="仿宋" w:cs="仿宋_GB2312"/>
                <w:sz w:val="28"/>
                <w:szCs w:val="28"/>
              </w:rPr>
              <w:t>住所地：</w:t>
            </w:r>
          </w:p>
        </w:tc>
        <w:tc>
          <w:tcPr>
            <w:tcW w:w="5562" w:type="dxa"/>
            <w:noWrap w:val="0"/>
            <w:vAlign w:val="top"/>
          </w:tcPr>
          <w:p w14:paraId="5F030BE0">
            <w:pPr>
              <w:adjustRightInd w:val="0"/>
              <w:spacing w:line="360" w:lineRule="auto"/>
              <w:jc w:val="left"/>
              <w:rPr>
                <w:rFonts w:ascii="仿宋" w:hAnsi="仿宋" w:eastAsia="仿宋" w:cs="仿宋_GB2312"/>
                <w:sz w:val="28"/>
                <w:szCs w:val="28"/>
              </w:rPr>
            </w:pPr>
            <w:permStart w:id="7" w:edGrp="everyone"/>
            <w:r>
              <w:rPr>
                <w:rFonts w:hint="eastAsia" w:ascii="仿宋" w:hAnsi="仿宋" w:eastAsia="仿宋" w:cs="仿宋_GB2312"/>
                <w:sz w:val="28"/>
                <w:szCs w:val="28"/>
                <w:u w:val="single"/>
              </w:rPr>
              <w:t xml:space="preserve">   金寨县现代产业园区莲花山路乐汇城A栋10楼     </w:t>
            </w:r>
            <w:permEnd w:id="7"/>
            <w:r>
              <w:rPr>
                <w:rFonts w:hint="eastAsia" w:ascii="仿宋" w:hAnsi="仿宋" w:eastAsia="仿宋" w:cs="仿宋_GB2312"/>
                <w:sz w:val="28"/>
                <w:szCs w:val="28"/>
                <w:u w:val="single"/>
              </w:rPr>
              <w:t xml:space="preserve">  </w:t>
            </w:r>
          </w:p>
        </w:tc>
      </w:tr>
      <w:tr w14:paraId="7D525278">
        <w:tblPrEx>
          <w:tblCellMar>
            <w:top w:w="0" w:type="dxa"/>
            <w:left w:w="108" w:type="dxa"/>
            <w:bottom w:w="0" w:type="dxa"/>
            <w:right w:w="108" w:type="dxa"/>
          </w:tblCellMar>
        </w:tblPrEx>
        <w:tc>
          <w:tcPr>
            <w:tcW w:w="2847" w:type="dxa"/>
            <w:noWrap w:val="0"/>
            <w:vAlign w:val="top"/>
          </w:tcPr>
          <w:p w14:paraId="2C734A01">
            <w:pPr>
              <w:adjustRightInd w:val="0"/>
              <w:spacing w:line="360" w:lineRule="auto"/>
              <w:jc w:val="left"/>
              <w:rPr>
                <w:rFonts w:hint="eastAsia" w:ascii="仿宋" w:hAnsi="仿宋" w:eastAsia="仿宋" w:cs="仿宋_GB2312"/>
                <w:sz w:val="28"/>
                <w:szCs w:val="28"/>
                <w:lang w:eastAsia="zh-CN"/>
              </w:rPr>
            </w:pPr>
            <w:r>
              <w:rPr>
                <w:rFonts w:hint="eastAsia" w:ascii="仿宋" w:hAnsi="仿宋" w:eastAsia="仿宋" w:cs="仿宋_GB2312"/>
                <w:sz w:val="28"/>
                <w:szCs w:val="28"/>
              </w:rPr>
              <w:t>身份证号/统一社会信用代码</w:t>
            </w:r>
            <w:r>
              <w:rPr>
                <w:rFonts w:hint="eastAsia" w:ascii="仿宋" w:hAnsi="仿宋" w:eastAsia="仿宋" w:cs="仿宋_GB2312"/>
                <w:sz w:val="28"/>
                <w:szCs w:val="28"/>
                <w:lang w:eastAsia="zh-CN"/>
              </w:rPr>
              <w:t>：</w:t>
            </w:r>
          </w:p>
        </w:tc>
        <w:tc>
          <w:tcPr>
            <w:tcW w:w="5562" w:type="dxa"/>
            <w:noWrap w:val="0"/>
            <w:vAlign w:val="top"/>
          </w:tcPr>
          <w:p w14:paraId="0F22790B">
            <w:pPr>
              <w:adjustRightInd w:val="0"/>
              <w:spacing w:line="360" w:lineRule="auto"/>
              <w:jc w:val="left"/>
              <w:rPr>
                <w:rFonts w:hint="eastAsia" w:ascii="仿宋" w:hAnsi="仿宋" w:eastAsia="仿宋" w:cs="仿宋_GB2312"/>
                <w:kern w:val="2"/>
                <w:sz w:val="28"/>
                <w:szCs w:val="28"/>
                <w:lang w:val="en-US" w:eastAsia="zh-CN" w:bidi="ar-SA"/>
              </w:rPr>
            </w:pPr>
            <w:permStart w:id="8" w:edGrp="everyone"/>
            <w:r>
              <w:rPr>
                <w:rFonts w:hint="eastAsia" w:ascii="仿宋" w:hAnsi="仿宋" w:eastAsia="仿宋" w:cs="仿宋_GB2312"/>
                <w:sz w:val="28"/>
                <w:szCs w:val="28"/>
                <w:u w:val="single"/>
              </w:rPr>
              <w:t xml:space="preserve">   91341524MA2N27DP9Y</w:t>
            </w:r>
            <w:permEnd w:id="8"/>
            <w:r>
              <w:rPr>
                <w:rFonts w:hint="eastAsia" w:ascii="仿宋" w:hAnsi="仿宋" w:eastAsia="仿宋" w:cs="仿宋_GB2312"/>
                <w:sz w:val="28"/>
                <w:szCs w:val="28"/>
                <w:u w:val="single"/>
              </w:rPr>
              <w:t xml:space="preserve">      </w:t>
            </w:r>
          </w:p>
        </w:tc>
      </w:tr>
      <w:tr w14:paraId="5075E5A2">
        <w:tblPrEx>
          <w:tblCellMar>
            <w:top w:w="0" w:type="dxa"/>
            <w:left w:w="108" w:type="dxa"/>
            <w:bottom w:w="0" w:type="dxa"/>
            <w:right w:w="108" w:type="dxa"/>
          </w:tblCellMar>
        </w:tblPrEx>
        <w:tc>
          <w:tcPr>
            <w:tcW w:w="2847" w:type="dxa"/>
            <w:noWrap w:val="0"/>
            <w:vAlign w:val="top"/>
          </w:tcPr>
          <w:p w14:paraId="673131D1">
            <w:pPr>
              <w:adjustRightInd w:val="0"/>
              <w:spacing w:line="360" w:lineRule="auto"/>
              <w:jc w:val="left"/>
              <w:rPr>
                <w:rFonts w:ascii="仿宋" w:hAnsi="仿宋" w:eastAsia="仿宋" w:cs="仿宋_GB2312"/>
                <w:sz w:val="28"/>
                <w:szCs w:val="28"/>
              </w:rPr>
            </w:pPr>
            <w:r>
              <w:rPr>
                <w:rFonts w:hint="eastAsia" w:ascii="仿宋" w:hAnsi="仿宋" w:eastAsia="仿宋" w:cs="仿宋_GB2312"/>
                <w:sz w:val="28"/>
                <w:szCs w:val="28"/>
              </w:rPr>
              <w:t>联系方式：</w:t>
            </w:r>
          </w:p>
        </w:tc>
        <w:tc>
          <w:tcPr>
            <w:tcW w:w="5562" w:type="dxa"/>
            <w:noWrap w:val="0"/>
            <w:vAlign w:val="top"/>
          </w:tcPr>
          <w:p w14:paraId="5110BD17">
            <w:pPr>
              <w:adjustRightInd w:val="0"/>
              <w:spacing w:line="360" w:lineRule="auto"/>
              <w:jc w:val="left"/>
              <w:rPr>
                <w:rFonts w:ascii="仿宋" w:hAnsi="仿宋" w:eastAsia="仿宋" w:cs="仿宋_GB2312"/>
                <w:sz w:val="28"/>
                <w:szCs w:val="28"/>
              </w:rPr>
            </w:pPr>
            <w:permStart w:id="9" w:edGrp="everyone"/>
            <w:r>
              <w:rPr>
                <w:rFonts w:hint="eastAsia" w:ascii="仿宋" w:hAnsi="仿宋" w:eastAsia="仿宋" w:cs="仿宋_GB2312"/>
                <w:sz w:val="28"/>
                <w:szCs w:val="28"/>
                <w:u w:val="single"/>
              </w:rPr>
              <w:t xml:space="preserve">    15212414530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u w:val="single"/>
              </w:rPr>
              <w:t xml:space="preserve">    </w:t>
            </w:r>
            <w:permEnd w:id="9"/>
            <w:r>
              <w:rPr>
                <w:rFonts w:hint="eastAsia" w:ascii="仿宋" w:hAnsi="仿宋" w:eastAsia="仿宋" w:cs="仿宋_GB2312"/>
                <w:sz w:val="28"/>
                <w:szCs w:val="28"/>
                <w:u w:val="single"/>
              </w:rPr>
              <w:t xml:space="preserve">  </w:t>
            </w:r>
          </w:p>
        </w:tc>
      </w:tr>
      <w:bookmarkEnd w:id="0"/>
    </w:tbl>
    <w:p w14:paraId="454ADC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lang w:val="en-US" w:eastAsia="zh-CN"/>
        </w:rPr>
      </w:pPr>
    </w:p>
    <w:p w14:paraId="065577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项目名称：</w:t>
      </w:r>
    </w:p>
    <w:p w14:paraId="1260A4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在订立合同、履行过程中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为保持廉洁自律的工作作风，营造守法诚信、廉洁高效的工作环境，防止各种违规违纪违法行为的发生，保护国家、集体和双方当事人的合法权益，根据国家有关法律法规，经</w:t>
      </w:r>
      <w:r>
        <w:rPr>
          <w:rFonts w:hint="eastAsia" w:ascii="仿宋_GB2312" w:hAnsi="仿宋_GB2312" w:eastAsia="仿宋_GB2312" w:cs="仿宋_GB2312"/>
          <w:sz w:val="28"/>
          <w:szCs w:val="28"/>
          <w:lang w:eastAsia="zh-CN"/>
        </w:rPr>
        <w:t>甲、乙</w:t>
      </w:r>
      <w:r>
        <w:rPr>
          <w:rFonts w:hint="eastAsia" w:ascii="仿宋_GB2312" w:hAnsi="仿宋_GB2312" w:eastAsia="仿宋_GB2312" w:cs="仿宋_GB2312"/>
          <w:sz w:val="28"/>
          <w:szCs w:val="28"/>
        </w:rPr>
        <w:t>双方同意，订立本廉洁协议</w:t>
      </w:r>
      <w:r>
        <w:rPr>
          <w:rFonts w:hint="eastAsia" w:ascii="仿宋_GB2312" w:hAnsi="仿宋_GB2312" w:eastAsia="仿宋_GB2312" w:cs="仿宋_GB2312"/>
          <w:sz w:val="28"/>
          <w:szCs w:val="28"/>
          <w:lang w:eastAsia="zh-CN"/>
        </w:rPr>
        <w:t>。</w:t>
      </w:r>
    </w:p>
    <w:p w14:paraId="27F361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第一条 </w:t>
      </w:r>
      <w:r>
        <w:rPr>
          <w:rFonts w:hint="eastAsia" w:ascii="仿宋_GB2312" w:hAnsi="仿宋_GB2312" w:eastAsia="仿宋_GB2312" w:cs="仿宋_GB2312"/>
          <w:b/>
          <w:bCs/>
          <w:sz w:val="28"/>
          <w:szCs w:val="28"/>
          <w:lang w:val="en-US" w:eastAsia="zh-CN"/>
        </w:rPr>
        <w:t>甲乙</w:t>
      </w:r>
      <w:r>
        <w:rPr>
          <w:rFonts w:hint="eastAsia" w:ascii="仿宋_GB2312" w:hAnsi="仿宋_GB2312" w:eastAsia="仿宋_GB2312" w:cs="仿宋_GB2312"/>
          <w:b/>
          <w:bCs/>
          <w:sz w:val="28"/>
          <w:szCs w:val="28"/>
        </w:rPr>
        <w:t>双方的权利和义务</w:t>
      </w:r>
    </w:p>
    <w:p w14:paraId="0887F3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严格遵守党和国家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地方及双方单位</w:t>
      </w:r>
      <w:r>
        <w:rPr>
          <w:rFonts w:hint="eastAsia" w:ascii="仿宋_GB2312" w:hAnsi="仿宋_GB2312" w:eastAsia="仿宋_GB2312" w:cs="仿宋_GB2312"/>
          <w:sz w:val="28"/>
          <w:szCs w:val="28"/>
        </w:rPr>
        <w:t>有关</w:t>
      </w:r>
      <w:r>
        <w:rPr>
          <w:rFonts w:hint="eastAsia" w:ascii="仿宋_GB2312" w:hAnsi="仿宋_GB2312" w:eastAsia="仿宋_GB2312" w:cs="仿宋_GB2312"/>
          <w:sz w:val="28"/>
          <w:szCs w:val="28"/>
          <w:lang w:val="en-US" w:eastAsia="zh-CN"/>
        </w:rPr>
        <w:t>廉政建设的各项制度和规定。</w:t>
      </w:r>
    </w:p>
    <w:p w14:paraId="23030A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严格遵守</w:t>
      </w:r>
      <w:permStart w:id="10" w:edGrp="everyone"/>
      <w:r>
        <w:rPr>
          <w:rFonts w:hint="eastAsia" w:ascii="仿宋_GB2312" w:hAnsi="仿宋_GB2312" w:eastAsia="仿宋_GB2312" w:cs="仿宋_GB2312"/>
          <w:b w:val="0"/>
          <w:bCs w:val="0"/>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金寨县生活污水处理厂及污水管网一体化项目EPC小区污水管网疏通专业分包</w:t>
      </w:r>
      <w:permEnd w:id="10"/>
      <w:r>
        <w:rPr>
          <w:rFonts w:hint="eastAsia" w:ascii="仿宋_GB2312" w:hAnsi="仿宋_GB2312" w:eastAsia="仿宋_GB2312" w:cs="仿宋_GB2312"/>
          <w:b w:val="0"/>
          <w:bCs w:val="0"/>
          <w:sz w:val="28"/>
          <w:szCs w:val="28"/>
          <w:u w:val="none"/>
        </w:rPr>
        <w:t>项目</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约定</w:t>
      </w:r>
      <w:r>
        <w:rPr>
          <w:rFonts w:hint="eastAsia" w:ascii="仿宋_GB2312" w:hAnsi="仿宋_GB2312" w:eastAsia="仿宋_GB2312" w:cs="仿宋_GB2312"/>
          <w:sz w:val="28"/>
          <w:szCs w:val="28"/>
        </w:rPr>
        <w:t>，自觉按合同办事。</w:t>
      </w:r>
    </w:p>
    <w:p w14:paraId="7B8216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除法律认定的商业秘密和合同另有</w:t>
      </w:r>
      <w:r>
        <w:rPr>
          <w:rFonts w:hint="eastAsia" w:ascii="仿宋_GB2312" w:hAnsi="仿宋_GB2312" w:eastAsia="仿宋_GB2312" w:cs="仿宋_GB2312"/>
          <w:sz w:val="28"/>
          <w:szCs w:val="28"/>
          <w:lang w:val="en-US" w:eastAsia="zh-CN"/>
        </w:rPr>
        <w:t>约</w:t>
      </w:r>
      <w:r>
        <w:rPr>
          <w:rFonts w:hint="eastAsia" w:ascii="仿宋_GB2312" w:hAnsi="仿宋_GB2312" w:eastAsia="仿宋_GB2312" w:cs="仿宋_GB2312"/>
          <w:sz w:val="28"/>
          <w:szCs w:val="28"/>
        </w:rPr>
        <w:t>定</w:t>
      </w:r>
      <w:r>
        <w:rPr>
          <w:rFonts w:hint="eastAsia" w:ascii="仿宋_GB2312" w:hAnsi="仿宋_GB2312" w:eastAsia="仿宋_GB2312" w:cs="仿宋_GB2312"/>
          <w:sz w:val="28"/>
          <w:szCs w:val="28"/>
          <w:lang w:val="en-US" w:eastAsia="zh-CN"/>
        </w:rPr>
        <w:t>不得公开的信息</w:t>
      </w:r>
      <w:r>
        <w:rPr>
          <w:rFonts w:hint="eastAsia" w:ascii="仿宋_GB2312" w:hAnsi="仿宋_GB2312" w:eastAsia="仿宋_GB2312" w:cs="仿宋_GB2312"/>
          <w:sz w:val="28"/>
          <w:szCs w:val="28"/>
        </w:rPr>
        <w:t>之外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双方的业务活动</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坚持公开、公正、诚信、透明的原则，不得为谋取不正当利益损害国家、集体和双方权益</w:t>
      </w:r>
      <w:r>
        <w:rPr>
          <w:rFonts w:hint="eastAsia" w:ascii="仿宋_GB2312" w:hAnsi="仿宋_GB2312" w:eastAsia="仿宋_GB2312" w:cs="仿宋_GB2312"/>
          <w:sz w:val="28"/>
          <w:szCs w:val="28"/>
          <w:lang w:val="en-US" w:eastAsia="zh-CN"/>
        </w:rPr>
        <w:t>。</w:t>
      </w:r>
    </w:p>
    <w:p w14:paraId="58C2D5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建立健全</w:t>
      </w:r>
      <w:r>
        <w:rPr>
          <w:rFonts w:hint="eastAsia" w:ascii="仿宋_GB2312" w:hAnsi="仿宋_GB2312" w:eastAsia="仿宋_GB2312" w:cs="仿宋_GB2312"/>
          <w:sz w:val="28"/>
          <w:szCs w:val="28"/>
          <w:lang w:eastAsia="zh-CN"/>
        </w:rPr>
        <w:t>廉政</w:t>
      </w:r>
      <w:r>
        <w:rPr>
          <w:rFonts w:hint="eastAsia" w:ascii="仿宋_GB2312" w:hAnsi="仿宋_GB2312" w:eastAsia="仿宋_GB2312" w:cs="仿宋_GB2312"/>
          <w:sz w:val="28"/>
          <w:szCs w:val="28"/>
          <w:lang w:val="en-US" w:eastAsia="zh-CN"/>
        </w:rPr>
        <w:t>制约</w:t>
      </w:r>
      <w:r>
        <w:rPr>
          <w:rFonts w:hint="eastAsia" w:ascii="仿宋_GB2312" w:hAnsi="仿宋_GB2312" w:eastAsia="仿宋_GB2312" w:cs="仿宋_GB2312"/>
          <w:sz w:val="28"/>
          <w:szCs w:val="28"/>
        </w:rPr>
        <w:t>制度，开展廉政教育，设立廉政告示牌，公布举报电话，</w:t>
      </w:r>
      <w:r>
        <w:rPr>
          <w:rFonts w:hint="eastAsia" w:ascii="仿宋_GB2312" w:hAnsi="仿宋_GB2312" w:eastAsia="仿宋_GB2312" w:cs="仿宋_GB2312"/>
          <w:sz w:val="28"/>
          <w:szCs w:val="28"/>
          <w:lang w:eastAsia="zh-CN"/>
        </w:rPr>
        <w:t>认真监督并</w:t>
      </w:r>
      <w:r>
        <w:rPr>
          <w:rFonts w:hint="eastAsia" w:ascii="仿宋_GB2312" w:hAnsi="仿宋_GB2312" w:eastAsia="仿宋_GB2312" w:cs="仿宋_GB2312"/>
          <w:sz w:val="28"/>
          <w:szCs w:val="28"/>
        </w:rPr>
        <w:t>查处违法违纪行为。</w:t>
      </w:r>
    </w:p>
    <w:p w14:paraId="6D0B4F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发现对方在业务活动中有违反廉政规定的行为，有及时提醒对方纠正的权利和义务。</w:t>
      </w:r>
    </w:p>
    <w:p w14:paraId="2D8C7E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发现对方严重违反本合同义务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违规、违纪、违法</w:t>
      </w:r>
      <w:r>
        <w:rPr>
          <w:rFonts w:hint="eastAsia" w:ascii="仿宋_GB2312" w:hAnsi="仿宋_GB2312" w:eastAsia="仿宋_GB2312" w:cs="仿宋_GB2312"/>
          <w:sz w:val="28"/>
          <w:szCs w:val="28"/>
        </w:rPr>
        <w:t>行为</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应及时提醒对方，并</w:t>
      </w:r>
      <w:r>
        <w:rPr>
          <w:rFonts w:hint="eastAsia" w:ascii="仿宋_GB2312" w:hAnsi="仿宋_GB2312" w:eastAsia="仿宋_GB2312" w:cs="仿宋_GB2312"/>
          <w:sz w:val="28"/>
          <w:szCs w:val="28"/>
        </w:rPr>
        <w:t>有向其上级有关部门举报、建议给予处理并要求</w:t>
      </w:r>
      <w:r>
        <w:rPr>
          <w:rFonts w:hint="eastAsia" w:ascii="仿宋_GB2312" w:hAnsi="仿宋_GB2312" w:eastAsia="仿宋_GB2312" w:cs="仿宋_GB2312"/>
          <w:sz w:val="28"/>
          <w:szCs w:val="28"/>
          <w:lang w:eastAsia="zh-CN"/>
        </w:rPr>
        <w:t>告知</w:t>
      </w:r>
      <w:r>
        <w:rPr>
          <w:rFonts w:hint="eastAsia" w:ascii="仿宋_GB2312" w:hAnsi="仿宋_GB2312" w:eastAsia="仿宋_GB2312" w:cs="仿宋_GB2312"/>
          <w:sz w:val="28"/>
          <w:szCs w:val="28"/>
        </w:rPr>
        <w:t>处理结果的权利。</w:t>
      </w:r>
    </w:p>
    <w:p w14:paraId="34F9B6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第二条 </w:t>
      </w:r>
      <w:r>
        <w:rPr>
          <w:rFonts w:hint="eastAsia" w:ascii="仿宋_GB2312" w:hAnsi="仿宋_GB2312" w:cs="仿宋_GB2312"/>
          <w:b/>
          <w:bCs/>
          <w:sz w:val="28"/>
          <w:szCs w:val="28"/>
          <w:lang w:val="en-US" w:eastAsia="zh-CN"/>
        </w:rPr>
        <w:t>甲方</w:t>
      </w:r>
      <w:r>
        <w:rPr>
          <w:rFonts w:hint="eastAsia" w:ascii="仿宋_GB2312" w:hAnsi="仿宋_GB2312" w:eastAsia="仿宋_GB2312" w:cs="仿宋_GB2312"/>
          <w:b/>
          <w:bCs/>
          <w:sz w:val="28"/>
          <w:szCs w:val="28"/>
        </w:rPr>
        <w:t>的义务</w:t>
      </w:r>
    </w:p>
    <w:p w14:paraId="145C8E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rPr>
        <w:t>及其工作人员不得索要或接受</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或相关单位</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回扣、红包、礼品、</w:t>
      </w:r>
      <w:r>
        <w:rPr>
          <w:rFonts w:hint="eastAsia" w:ascii="仿宋_GB2312" w:hAnsi="仿宋_GB2312" w:eastAsia="仿宋_GB2312" w:cs="仿宋_GB2312"/>
          <w:sz w:val="28"/>
          <w:szCs w:val="28"/>
        </w:rPr>
        <w:t>礼金、</w:t>
      </w:r>
      <w:r>
        <w:rPr>
          <w:rFonts w:hint="eastAsia" w:ascii="仿宋_GB2312" w:hAnsi="仿宋_GB2312" w:eastAsia="仿宋_GB2312" w:cs="仿宋_GB2312"/>
          <w:sz w:val="28"/>
          <w:szCs w:val="28"/>
          <w:lang w:val="en-US" w:eastAsia="zh-CN"/>
        </w:rPr>
        <w:t>消费卡、好处费、感谢费、</w:t>
      </w:r>
      <w:r>
        <w:rPr>
          <w:rFonts w:hint="eastAsia" w:ascii="仿宋_GB2312" w:hAnsi="仿宋_GB2312" w:eastAsia="仿宋_GB2312" w:cs="仿宋_GB2312"/>
          <w:sz w:val="28"/>
          <w:szCs w:val="28"/>
        </w:rPr>
        <w:t>有价证券</w:t>
      </w:r>
      <w:r>
        <w:rPr>
          <w:rFonts w:hint="eastAsia" w:ascii="仿宋_GB2312" w:hAnsi="仿宋_GB2312" w:eastAsia="仿宋_GB2312" w:cs="仿宋_GB2312"/>
          <w:sz w:val="28"/>
          <w:szCs w:val="28"/>
          <w:lang w:eastAsia="zh-CN"/>
        </w:rPr>
        <w:t>、股权</w:t>
      </w:r>
      <w:r>
        <w:rPr>
          <w:rFonts w:hint="eastAsia" w:ascii="仿宋_GB2312" w:hAnsi="仿宋_GB2312" w:eastAsia="仿宋_GB2312" w:cs="仿宋_GB2312"/>
          <w:sz w:val="28"/>
          <w:szCs w:val="28"/>
          <w:lang w:val="en-US" w:eastAsia="zh-CN"/>
        </w:rPr>
        <w:t>和其他金融产品等财物</w:t>
      </w:r>
      <w:r>
        <w:rPr>
          <w:rFonts w:hint="eastAsia" w:ascii="仿宋_GB2312" w:hAnsi="仿宋_GB2312" w:eastAsia="仿宋_GB2312" w:cs="仿宋_GB2312"/>
          <w:sz w:val="28"/>
          <w:szCs w:val="28"/>
        </w:rPr>
        <w:t>，不得</w:t>
      </w:r>
      <w:r>
        <w:rPr>
          <w:rFonts w:hint="eastAsia" w:ascii="仿宋_GB2312" w:hAnsi="仿宋_GB2312" w:eastAsia="仿宋_GB2312" w:cs="仿宋_GB2312"/>
          <w:sz w:val="28"/>
          <w:szCs w:val="28"/>
          <w:lang w:val="en-US" w:eastAsia="zh-CN"/>
        </w:rPr>
        <w:t>让</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rPr>
        <w:t>报销任何应由</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rPr>
        <w:t>或</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lang w:val="en-US" w:eastAsia="zh-CN"/>
        </w:rPr>
        <w:t>工作人员</w:t>
      </w:r>
      <w:r>
        <w:rPr>
          <w:rFonts w:hint="eastAsia" w:ascii="仿宋_GB2312" w:hAnsi="仿宋_GB2312" w:eastAsia="仿宋_GB2312" w:cs="仿宋_GB2312"/>
          <w:sz w:val="28"/>
          <w:szCs w:val="28"/>
        </w:rPr>
        <w:t>个人支付的</w:t>
      </w:r>
      <w:r>
        <w:rPr>
          <w:rFonts w:hint="eastAsia" w:ascii="仿宋_GB2312" w:hAnsi="仿宋_GB2312" w:eastAsia="仿宋_GB2312" w:cs="仿宋_GB2312"/>
          <w:sz w:val="28"/>
          <w:szCs w:val="28"/>
          <w:lang w:eastAsia="zh-CN"/>
        </w:rPr>
        <w:t>费用</w:t>
      </w:r>
      <w:r>
        <w:rPr>
          <w:rFonts w:hint="eastAsia" w:ascii="仿宋_GB2312" w:hAnsi="仿宋_GB2312" w:eastAsia="仿宋_GB2312" w:cs="仿宋_GB2312"/>
          <w:sz w:val="28"/>
          <w:szCs w:val="28"/>
        </w:rPr>
        <w:t>。</w:t>
      </w:r>
    </w:p>
    <w:p w14:paraId="6C72E9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rPr>
        <w:t>工作人员不得参加</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rPr>
        <w:t>安排的超标准宴请和娱乐活动</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不得接受</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rPr>
        <w:t>提供的通讯工具、交通工具和高档办公用品等。</w:t>
      </w:r>
    </w:p>
    <w:p w14:paraId="09E257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rPr>
        <w:t>及其工作人员不得要求或者接受</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rPr>
        <w:t>为其住房装修、婚丧嫁娶活动、配偶子女的工作安排以及</w:t>
      </w:r>
      <w:r>
        <w:rPr>
          <w:rFonts w:hint="eastAsia" w:ascii="仿宋_GB2312" w:hAnsi="仿宋_GB2312" w:eastAsia="仿宋_GB2312" w:cs="仿宋_GB2312"/>
          <w:sz w:val="28"/>
          <w:szCs w:val="28"/>
          <w:lang w:eastAsia="zh-CN"/>
        </w:rPr>
        <w:t>出国</w:t>
      </w:r>
      <w:r>
        <w:rPr>
          <w:rFonts w:hint="eastAsia" w:ascii="仿宋_GB2312" w:hAnsi="仿宋_GB2312" w:eastAsia="仿宋_GB2312" w:cs="仿宋_GB2312"/>
          <w:sz w:val="28"/>
          <w:szCs w:val="28"/>
        </w:rPr>
        <w:t>、旅游等</w:t>
      </w:r>
      <w:r>
        <w:rPr>
          <w:rFonts w:hint="eastAsia" w:ascii="仿宋_GB2312" w:hAnsi="仿宋_GB2312" w:eastAsia="仿宋_GB2312" w:cs="仿宋_GB2312"/>
          <w:sz w:val="28"/>
          <w:szCs w:val="28"/>
          <w:lang w:eastAsia="zh-CN"/>
        </w:rPr>
        <w:t>提供方便</w:t>
      </w:r>
      <w:r>
        <w:rPr>
          <w:rFonts w:hint="eastAsia" w:ascii="仿宋_GB2312" w:hAnsi="仿宋_GB2312" w:eastAsia="仿宋_GB2312" w:cs="仿宋_GB2312"/>
          <w:sz w:val="28"/>
          <w:szCs w:val="28"/>
        </w:rPr>
        <w:t>。</w:t>
      </w:r>
    </w:p>
    <w:p w14:paraId="26EEA7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rPr>
        <w:t>工作人员</w:t>
      </w:r>
      <w:r>
        <w:rPr>
          <w:rFonts w:hint="eastAsia" w:ascii="仿宋_GB2312" w:hAnsi="仿宋_GB2312" w:eastAsia="仿宋_GB2312" w:cs="仿宋_GB2312"/>
          <w:sz w:val="28"/>
          <w:szCs w:val="28"/>
          <w:lang w:val="en-US" w:eastAsia="zh-CN"/>
        </w:rPr>
        <w:t>及其</w:t>
      </w:r>
      <w:r>
        <w:rPr>
          <w:rFonts w:hint="eastAsia" w:ascii="仿宋_GB2312" w:hAnsi="仿宋_GB2312" w:eastAsia="仿宋_GB2312" w:cs="仿宋_GB2312"/>
          <w:sz w:val="28"/>
          <w:szCs w:val="28"/>
        </w:rPr>
        <w:t>配偶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子女</w:t>
      </w:r>
      <w:r>
        <w:rPr>
          <w:rFonts w:hint="eastAsia" w:ascii="仿宋_GB2312" w:hAnsi="仿宋_GB2312" w:eastAsia="仿宋_GB2312" w:cs="仿宋_GB2312"/>
          <w:sz w:val="28"/>
          <w:szCs w:val="28"/>
          <w:lang w:val="en-US" w:eastAsia="zh-CN"/>
        </w:rPr>
        <w:t>及其配偶等亲属或其他特定关系人</w:t>
      </w:r>
      <w:r>
        <w:rPr>
          <w:rFonts w:hint="eastAsia" w:ascii="仿宋_GB2312" w:hAnsi="仿宋_GB2312" w:eastAsia="仿宋_GB2312" w:cs="仿宋_GB2312"/>
          <w:sz w:val="28"/>
          <w:szCs w:val="28"/>
        </w:rPr>
        <w:t>不得从事与</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rPr>
        <w:t>工程有关的材料设备供应、工程分包、劳务等经济活动</w:t>
      </w:r>
      <w:r>
        <w:rPr>
          <w:rFonts w:hint="eastAsia" w:ascii="仿宋_GB2312" w:hAnsi="仿宋_GB2312" w:eastAsia="仿宋_GB2312" w:cs="仿宋_GB2312"/>
          <w:sz w:val="28"/>
          <w:szCs w:val="28"/>
          <w:lang w:eastAsia="zh-CN"/>
        </w:rPr>
        <w:t>，不得以任何理由向</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和相关单位推荐第三方单位</w:t>
      </w:r>
      <w:r>
        <w:rPr>
          <w:rFonts w:hint="eastAsia" w:ascii="仿宋_GB2312" w:hAnsi="仿宋_GB2312" w:eastAsia="仿宋_GB2312" w:cs="仿宋_GB2312"/>
          <w:sz w:val="28"/>
          <w:szCs w:val="28"/>
        </w:rPr>
        <w:t>。</w:t>
      </w:r>
    </w:p>
    <w:p w14:paraId="5A0E97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rPr>
        <w:t>及其工作人员不得以任何理由向</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rPr>
        <w:t>推荐分包单位</w:t>
      </w:r>
      <w:r>
        <w:rPr>
          <w:rFonts w:hint="eastAsia" w:ascii="仿宋_GB2312" w:hAnsi="仿宋_GB2312" w:eastAsia="仿宋_GB2312" w:cs="仿宋_GB2312"/>
          <w:sz w:val="28"/>
          <w:szCs w:val="28"/>
          <w:lang w:val="en-US" w:eastAsia="zh-CN"/>
        </w:rPr>
        <w:t>或推销材料</w:t>
      </w:r>
      <w:r>
        <w:rPr>
          <w:rFonts w:hint="eastAsia" w:ascii="仿宋_GB2312" w:hAnsi="仿宋_GB2312" w:eastAsia="仿宋_GB2312" w:cs="仿宋_GB2312"/>
          <w:sz w:val="28"/>
          <w:szCs w:val="28"/>
        </w:rPr>
        <w:t>，不得要求</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rPr>
        <w:t>购买合同</w:t>
      </w:r>
      <w:r>
        <w:rPr>
          <w:rFonts w:hint="eastAsia" w:ascii="仿宋_GB2312" w:hAnsi="仿宋_GB2312" w:eastAsia="仿宋_GB2312" w:cs="仿宋_GB2312"/>
          <w:sz w:val="28"/>
          <w:szCs w:val="28"/>
          <w:lang w:val="en-US" w:eastAsia="zh-CN"/>
        </w:rPr>
        <w:t>约</w:t>
      </w:r>
      <w:r>
        <w:rPr>
          <w:rFonts w:hint="eastAsia" w:ascii="仿宋_GB2312" w:hAnsi="仿宋_GB2312" w:eastAsia="仿宋_GB2312" w:cs="仿宋_GB2312"/>
          <w:sz w:val="28"/>
          <w:szCs w:val="28"/>
        </w:rPr>
        <w:t>定外的材料和设备</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w:t>
      </w:r>
    </w:p>
    <w:p w14:paraId="552B7C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lang w:val="en-US" w:eastAsia="zh-CN"/>
        </w:rPr>
        <w:t>不准向</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泄露涉及有关业务活动的秘密，</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工作人员要秉公办事，不准营私舞弊，不准利用职权从事各种个人有偿中介活动和安排个人施工队伍。</w:t>
      </w:r>
    </w:p>
    <w:p w14:paraId="5380BA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val="en-US" w:eastAsia="zh-CN"/>
        </w:rPr>
        <w:t>有权</w:t>
      </w:r>
      <w:r>
        <w:rPr>
          <w:rFonts w:hint="eastAsia" w:ascii="仿宋_GB2312" w:hAnsi="仿宋_GB2312" w:eastAsia="仿宋_GB2312" w:cs="仿宋_GB2312"/>
          <w:sz w:val="28"/>
          <w:szCs w:val="28"/>
          <w:lang w:eastAsia="zh-CN"/>
        </w:rPr>
        <w:t>要求参与公司业务活动的本公司员工主动申报与</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的关联关系，包括但不限于存在亲属关系、利益关联体等。</w:t>
      </w:r>
    </w:p>
    <w:p w14:paraId="222194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sz w:val="28"/>
          <w:szCs w:val="28"/>
          <w:lang w:val="en-US" w:eastAsia="zh-CN"/>
        </w:rPr>
        <w:t>8.在合同订立及履行过程中，如</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人员有行贿行为的，</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lang w:val="en-US" w:eastAsia="zh-CN"/>
        </w:rPr>
        <w:t>应坚决拒绝，及时向公司领导、纪检监察部门或</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上级领导或有关部门举报，并向双方单位通报。</w:t>
      </w:r>
    </w:p>
    <w:p w14:paraId="571C0A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第三条 </w:t>
      </w:r>
      <w:r>
        <w:rPr>
          <w:rFonts w:hint="eastAsia" w:ascii="仿宋_GB2312" w:hAnsi="仿宋_GB2312" w:cs="仿宋_GB2312"/>
          <w:b/>
          <w:bCs/>
          <w:sz w:val="28"/>
          <w:szCs w:val="28"/>
          <w:lang w:val="en-US" w:eastAsia="zh-CN"/>
        </w:rPr>
        <w:t>乙方</w:t>
      </w:r>
      <w:r>
        <w:rPr>
          <w:rFonts w:hint="eastAsia" w:ascii="仿宋_GB2312" w:hAnsi="仿宋_GB2312" w:eastAsia="仿宋_GB2312" w:cs="仿宋_GB2312"/>
          <w:b/>
          <w:bCs/>
          <w:sz w:val="28"/>
          <w:szCs w:val="28"/>
          <w:lang w:val="en-US" w:eastAsia="zh-CN"/>
        </w:rPr>
        <w:t>的</w:t>
      </w:r>
      <w:r>
        <w:rPr>
          <w:rFonts w:hint="eastAsia" w:ascii="仿宋_GB2312" w:hAnsi="仿宋_GB2312" w:eastAsia="仿宋_GB2312" w:cs="仿宋_GB2312"/>
          <w:b/>
          <w:bCs/>
          <w:sz w:val="28"/>
          <w:szCs w:val="28"/>
        </w:rPr>
        <w:t>义务</w:t>
      </w:r>
    </w:p>
    <w:p w14:paraId="4A9627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不得以任何理由</w:t>
      </w:r>
      <w:r>
        <w:rPr>
          <w:rFonts w:hint="eastAsia" w:ascii="仿宋_GB2312" w:hAnsi="仿宋_GB2312" w:eastAsia="仿宋_GB2312" w:cs="仿宋_GB2312"/>
          <w:sz w:val="28"/>
          <w:szCs w:val="28"/>
          <w:lang w:eastAsia="zh-CN"/>
        </w:rPr>
        <w:t>或</w:t>
      </w:r>
      <w:r>
        <w:rPr>
          <w:rFonts w:hint="eastAsia" w:ascii="仿宋_GB2312" w:hAnsi="仿宋_GB2312" w:eastAsia="仿宋_GB2312" w:cs="仿宋_GB2312"/>
          <w:sz w:val="28"/>
          <w:szCs w:val="28"/>
          <w:lang w:val="en-US" w:eastAsia="zh-CN"/>
        </w:rPr>
        <w:t>形式</w:t>
      </w:r>
      <w:r>
        <w:rPr>
          <w:rFonts w:hint="eastAsia" w:ascii="仿宋_GB2312" w:hAnsi="仿宋_GB2312" w:eastAsia="仿宋_GB2312" w:cs="仿宋_GB2312"/>
          <w:sz w:val="28"/>
          <w:szCs w:val="28"/>
        </w:rPr>
        <w:t>向</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rPr>
        <w:t>工作人员</w:t>
      </w:r>
      <w:r>
        <w:rPr>
          <w:rFonts w:hint="eastAsia" w:ascii="仿宋_GB2312" w:hAnsi="仿宋_GB2312" w:eastAsia="仿宋_GB2312" w:cs="仿宋_GB2312"/>
          <w:sz w:val="28"/>
          <w:szCs w:val="28"/>
          <w:lang w:val="en-US" w:eastAsia="zh-CN"/>
        </w:rPr>
        <w:t>及其配偶、子女及其他特定关系人</w:t>
      </w:r>
      <w:r>
        <w:rPr>
          <w:rFonts w:hint="eastAsia" w:ascii="仿宋_GB2312" w:hAnsi="仿宋_GB2312" w:eastAsia="仿宋_GB2312" w:cs="仿宋_GB2312"/>
          <w:sz w:val="28"/>
          <w:szCs w:val="28"/>
        </w:rPr>
        <w:t>行贿或馈赠礼品、礼金、消费卡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有价证券、股权、其他金融产品等财物，或</w:t>
      </w:r>
      <w:r>
        <w:rPr>
          <w:rFonts w:hint="eastAsia" w:ascii="仿宋_GB2312" w:hAnsi="仿宋_GB2312" w:eastAsia="仿宋_GB2312" w:cs="仿宋_GB2312"/>
          <w:sz w:val="28"/>
          <w:szCs w:val="28"/>
          <w:lang w:val="en-US" w:eastAsia="zh-CN"/>
        </w:rPr>
        <w:t>给予</w:t>
      </w:r>
      <w:r>
        <w:rPr>
          <w:rFonts w:hint="eastAsia" w:ascii="仿宋_GB2312" w:hAnsi="仿宋_GB2312" w:eastAsia="仿宋_GB2312" w:cs="仿宋_GB2312"/>
          <w:sz w:val="28"/>
          <w:szCs w:val="28"/>
        </w:rPr>
        <w:t>回扣、好处费、感谢费等。</w:t>
      </w:r>
    </w:p>
    <w:p w14:paraId="7154CE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rPr>
        <w:t>不得以任何名义为</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rPr>
        <w:t>及其工作人员报销应由</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rPr>
        <w:t>单位或个人支付的任何费用。</w:t>
      </w:r>
    </w:p>
    <w:p w14:paraId="019E5B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不得以任何理由或者形式</w:t>
      </w:r>
      <w:r>
        <w:rPr>
          <w:rFonts w:hint="eastAsia" w:ascii="仿宋_GB2312" w:hAnsi="仿宋_GB2312" w:eastAsia="仿宋_GB2312" w:cs="仿宋_GB2312"/>
          <w:sz w:val="28"/>
          <w:szCs w:val="28"/>
        </w:rPr>
        <w:t>安排</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rPr>
        <w:t>工作人员参加超标准宴请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旅游、健身、</w:t>
      </w:r>
      <w:r>
        <w:rPr>
          <w:rFonts w:hint="eastAsia" w:ascii="仿宋_GB2312" w:hAnsi="仿宋_GB2312" w:eastAsia="仿宋_GB2312" w:cs="仿宋_GB2312"/>
          <w:sz w:val="28"/>
          <w:szCs w:val="28"/>
        </w:rPr>
        <w:t>娱乐</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活动。</w:t>
      </w:r>
    </w:p>
    <w:p w14:paraId="7706D7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rPr>
        <w:t>不得为</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rPr>
        <w:t>单位和个人</w:t>
      </w:r>
      <w:r>
        <w:rPr>
          <w:rFonts w:hint="eastAsia" w:ascii="仿宋_GB2312" w:hAnsi="仿宋_GB2312" w:eastAsia="仿宋_GB2312" w:cs="仿宋_GB2312"/>
          <w:sz w:val="28"/>
          <w:szCs w:val="28"/>
          <w:lang w:val="en-US" w:eastAsia="zh-CN"/>
        </w:rPr>
        <w:t>及其家属购置或提供任何住房、装修、</w:t>
      </w:r>
      <w:r>
        <w:rPr>
          <w:rFonts w:hint="eastAsia" w:ascii="仿宋_GB2312" w:hAnsi="仿宋_GB2312" w:eastAsia="仿宋_GB2312" w:cs="仿宋_GB2312"/>
          <w:sz w:val="28"/>
          <w:szCs w:val="28"/>
        </w:rPr>
        <w:t>通讯工具、交通工具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家电</w:t>
      </w:r>
      <w:r>
        <w:rPr>
          <w:rFonts w:hint="eastAsia" w:ascii="仿宋_GB2312" w:hAnsi="仿宋_GB2312" w:eastAsia="仿宋_GB2312" w:cs="仿宋_GB2312"/>
          <w:sz w:val="28"/>
          <w:szCs w:val="28"/>
        </w:rPr>
        <w:t>和高档办公用品等</w:t>
      </w:r>
      <w:r>
        <w:rPr>
          <w:rFonts w:hint="eastAsia" w:ascii="仿宋_GB2312" w:hAnsi="仿宋_GB2312" w:eastAsia="仿宋_GB2312" w:cs="仿宋_GB2312"/>
          <w:sz w:val="28"/>
          <w:szCs w:val="28"/>
          <w:lang w:val="en-US" w:eastAsia="zh-CN"/>
        </w:rPr>
        <w:t>物品</w:t>
      </w:r>
      <w:r>
        <w:rPr>
          <w:rFonts w:hint="eastAsia" w:ascii="仿宋_GB2312" w:hAnsi="仿宋_GB2312" w:eastAsia="仿宋_GB2312" w:cs="仿宋_GB2312"/>
          <w:sz w:val="28"/>
          <w:szCs w:val="28"/>
        </w:rPr>
        <w:t>。</w:t>
      </w:r>
    </w:p>
    <w:p w14:paraId="5E750B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不得与</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人员及其亲属发生任何形式的经济往来，包括但不限于个人借款、任何形式的费用报销、婚丧嫁娶、工作安排、出国、留学等。</w:t>
      </w:r>
    </w:p>
    <w:p w14:paraId="6274EA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不得</w:t>
      </w:r>
      <w:r>
        <w:rPr>
          <w:rFonts w:hint="eastAsia" w:ascii="仿宋_GB2312" w:hAnsi="仿宋_GB2312" w:eastAsia="仿宋_GB2312" w:cs="仿宋_GB2312"/>
          <w:sz w:val="28"/>
          <w:szCs w:val="28"/>
          <w:lang w:eastAsia="zh-CN"/>
        </w:rPr>
        <w:t>以谋取非正当利益为目的，擅自与</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工作人员就业务问题进行私下商谈或者达成利益默契。</w:t>
      </w:r>
    </w:p>
    <w:p w14:paraId="1C26C9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不得与其他单位串通投标、不得采取恶性竞争等不正当手段竞争业务。</w:t>
      </w:r>
    </w:p>
    <w:p w14:paraId="485C7D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发现</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工作人员有违反本廉洁协议书规定的，应向</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单位举报。</w:t>
      </w:r>
    </w:p>
    <w:p w14:paraId="70950D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应当确保</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人员了解并自觉遵守本协议，发现</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任何人员有向</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lang w:val="en-US" w:eastAsia="zh-CN"/>
        </w:rPr>
        <w:t>员工行贿倾向、建议或行为的，应予以制止、批评教育。</w:t>
      </w:r>
      <w:r>
        <w:rPr>
          <w:rFonts w:hint="eastAsia" w:ascii="仿宋_GB2312"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发现</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lang w:val="en-US" w:eastAsia="zh-CN"/>
        </w:rPr>
        <w:t>员工有索贿、受贿行为的，应坚决拒绝，并向</w:t>
      </w:r>
      <w:r>
        <w:rPr>
          <w:rFonts w:hint="eastAsia" w:ascii="仿宋_GB2312" w:hAnsi="仿宋_GB2312" w:cs="仿宋_GB2312"/>
          <w:sz w:val="28"/>
          <w:szCs w:val="28"/>
          <w:lang w:val="en-US" w:eastAsia="zh-CN"/>
        </w:rPr>
        <w:t>甲方</w:t>
      </w:r>
      <w:r>
        <w:rPr>
          <w:rFonts w:hint="eastAsia" w:ascii="仿宋_GB2312" w:hAnsi="仿宋_GB2312" w:eastAsia="仿宋_GB2312" w:cs="仿宋_GB2312"/>
          <w:sz w:val="28"/>
          <w:szCs w:val="28"/>
          <w:lang w:val="en-US" w:eastAsia="zh-CN"/>
        </w:rPr>
        <w:t>纪检监察等有关部门进行举报。</w:t>
      </w:r>
    </w:p>
    <w:p w14:paraId="4E96A8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第四条 违约责任</w:t>
      </w:r>
    </w:p>
    <w:p w14:paraId="100C48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1.若</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出现违反本协议约定的行为，</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有权根据具体情节的严重程度和造成的后果要求</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按照</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合同总金额的</w:t>
      </w:r>
      <w:permStart w:id="11" w:edGrp="everyone"/>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10</w:t>
      </w:r>
      <w:r>
        <w:rPr>
          <w:rFonts w:hint="eastAsia" w:ascii="仿宋_GB2312" w:hAnsi="仿宋_GB2312" w:eastAsia="仿宋_GB2312" w:cs="仿宋_GB2312"/>
          <w:sz w:val="28"/>
          <w:szCs w:val="28"/>
          <w:lang w:val="en-US" w:eastAsia="zh-CN"/>
        </w:rPr>
        <w:t xml:space="preserve"> </w:t>
      </w:r>
      <w:permEnd w:id="11"/>
      <w:r>
        <w:rPr>
          <w:rFonts w:hint="eastAsia" w:ascii="仿宋_GB2312" w:hAnsi="仿宋_GB2312" w:eastAsia="仿宋_GB2312" w:cs="仿宋_GB2312"/>
          <w:sz w:val="28"/>
          <w:szCs w:val="28"/>
        </w:rPr>
        <w:t>%向</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支付违约金，并承担因此给</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造成的全部损失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直接损失、间接损失等）</w:t>
      </w:r>
      <w:r>
        <w:rPr>
          <w:rFonts w:hint="eastAsia" w:ascii="仿宋_GB2312" w:hAnsi="仿宋_GB2312" w:eastAsia="仿宋_GB2312" w:cs="仿宋_GB2312"/>
          <w:sz w:val="28"/>
          <w:szCs w:val="28"/>
        </w:rPr>
        <w:t>，</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有权从双方已签订的</w:t>
      </w:r>
      <w:r>
        <w:rPr>
          <w:rFonts w:hint="eastAsia" w:ascii="仿宋_GB2312" w:hAnsi="仿宋_GB2312" w:eastAsia="仿宋_GB2312" w:cs="仿宋_GB2312"/>
          <w:sz w:val="28"/>
          <w:szCs w:val="28"/>
          <w:lang w:val="en-US" w:eastAsia="zh-CN"/>
        </w:rPr>
        <w:t>项目合同及</w:t>
      </w:r>
      <w:r>
        <w:rPr>
          <w:rFonts w:hint="eastAsia" w:ascii="仿宋_GB2312" w:hAnsi="仿宋_GB2312" w:eastAsia="仿宋_GB2312" w:cs="仿宋_GB2312"/>
          <w:sz w:val="28"/>
          <w:szCs w:val="28"/>
        </w:rPr>
        <w:t>其他正在履行的合同中</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未结算款项里优先予以扣除且无需承担任何违约责任，</w:t>
      </w:r>
      <w:r>
        <w:rPr>
          <w:rFonts w:hint="eastAsia" w:ascii="仿宋_GB2312" w:hAnsi="仿宋_GB2312" w:eastAsia="仿宋_GB2312" w:cs="仿宋_GB2312"/>
          <w:sz w:val="28"/>
          <w:szCs w:val="28"/>
          <w:lang w:val="en-US" w:eastAsia="zh-CN"/>
        </w:rPr>
        <w:t>若</w:t>
      </w:r>
      <w:r>
        <w:rPr>
          <w:rFonts w:hint="eastAsia" w:ascii="仿宋_GB2312" w:hAnsi="仿宋_GB2312" w:eastAsia="仿宋_GB2312" w:cs="仿宋_GB2312"/>
          <w:sz w:val="28"/>
          <w:szCs w:val="28"/>
        </w:rPr>
        <w:t>正在履行的合同中</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未结算款项不足以支付违约金的，</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应按</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要求，补足违约金差额。</w:t>
      </w:r>
    </w:p>
    <w:p w14:paraId="3C77AB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若</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发现</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工作人员为谋取自身不正当利益有违反廉政规定的行为，</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有权要求</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撤回该人员，并不再安排该人员从事与</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有关的任何工作。根据情节严重程度及双方合作态度，</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有权采取以下一种或多种措施：终止或解除合同，限制</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后续投标资格、将</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列入供应商黑名单不再合作等。</w:t>
      </w:r>
    </w:p>
    <w:p w14:paraId="4EAB9F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如</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出现违反本协议约定的行为，鼓励</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进行举报，</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将对</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投诉人及投诉内容（举报人、陈述人、证人等）予以严格保密，并在接到</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书面投诉后的</w:t>
      </w:r>
      <w:permStart w:id="12" w:edGrp="everyone"/>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5</w:t>
      </w:r>
      <w:r>
        <w:rPr>
          <w:rFonts w:hint="eastAsia" w:ascii="仿宋_GB2312" w:hAnsi="仿宋_GB2312" w:eastAsia="仿宋_GB2312" w:cs="仿宋_GB2312"/>
          <w:sz w:val="28"/>
          <w:szCs w:val="28"/>
          <w:lang w:val="en-US" w:eastAsia="zh-CN"/>
        </w:rPr>
        <w:t xml:space="preserve"> </w:t>
      </w:r>
      <w:permEnd w:id="12"/>
      <w:r>
        <w:rPr>
          <w:rFonts w:hint="eastAsia" w:ascii="仿宋_GB2312" w:hAnsi="仿宋_GB2312" w:eastAsia="仿宋_GB2312" w:cs="仿宋_GB2312"/>
          <w:sz w:val="28"/>
          <w:szCs w:val="28"/>
          <w:lang w:eastAsia="zh-CN"/>
        </w:rPr>
        <w:t>个工作日内给予</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lang w:eastAsia="zh-CN"/>
        </w:rPr>
        <w:t>反馈。经查实</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工作人员确有违反廉政规定行为的，</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lang w:eastAsia="zh-CN"/>
        </w:rPr>
        <w:t>将根据有关规定对其进行严肃处理。</w:t>
      </w:r>
    </w:p>
    <w:p w14:paraId="4D0122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 xml:space="preserve">第五条 </w:t>
      </w:r>
      <w:r>
        <w:rPr>
          <w:rFonts w:hint="eastAsia" w:ascii="仿宋_GB2312" w:hAnsi="仿宋_GB2312" w:eastAsia="仿宋_GB2312" w:cs="仿宋_GB2312"/>
          <w:b/>
          <w:bCs/>
          <w:sz w:val="28"/>
          <w:szCs w:val="28"/>
          <w:lang w:val="en-US" w:eastAsia="zh-CN"/>
        </w:rPr>
        <w:t>其它约定</w:t>
      </w:r>
    </w:p>
    <w:p w14:paraId="1D951F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1.本协议作为</w:t>
      </w:r>
      <w:permStart w:id="13" w:edGrp="everyone"/>
      <w:r>
        <w:rPr>
          <w:rFonts w:hint="eastAsia" w:ascii="仿宋_GB2312" w:hAnsi="仿宋_GB2312" w:eastAsia="仿宋_GB2312" w:cs="仿宋_GB2312"/>
          <w:sz w:val="28"/>
          <w:szCs w:val="28"/>
          <w:u w:val="single"/>
          <w:lang w:val="en-US" w:eastAsia="zh-CN"/>
        </w:rPr>
        <w:t xml:space="preserve"> </w:t>
      </w:r>
      <w:r>
        <w:rPr>
          <w:rFonts w:hint="eastAsia" w:ascii="Times New Roman" w:hAnsi="Times New Roman" w:eastAsia="仿宋_GB2312" w:cs="Times New Roman"/>
          <w:sz w:val="28"/>
          <w:szCs w:val="28"/>
          <w:u w:val="single"/>
          <w:lang w:eastAsia="zh-CN"/>
        </w:rPr>
        <w:t>金寨县生活污水处理厂及污水管网一体化项目EPC工程项目小区污水管网疏通专业分包</w:t>
      </w:r>
      <w:r>
        <w:rPr>
          <w:rFonts w:hint="eastAsia" w:ascii="仿宋_GB2312" w:hAnsi="仿宋_GB2312" w:eastAsia="仿宋_GB2312" w:cs="仿宋_GB2312"/>
          <w:sz w:val="28"/>
          <w:szCs w:val="28"/>
          <w:lang w:val="en-US" w:eastAsia="zh-CN"/>
        </w:rPr>
        <w:t xml:space="preserve"> </w:t>
      </w:r>
      <w:permEnd w:id="13"/>
      <w:r>
        <w:rPr>
          <w:rFonts w:hint="eastAsia" w:ascii="仿宋_GB2312" w:hAnsi="仿宋_GB2312" w:eastAsia="仿宋_GB2312" w:cs="仿宋_GB2312"/>
          <w:sz w:val="28"/>
          <w:szCs w:val="28"/>
          <w:lang w:val="en-US" w:eastAsia="zh-CN"/>
        </w:rPr>
        <w:t>合同的附件，与该合同具有同等法律效力，经双方签字盖章后生效。</w:t>
      </w:r>
    </w:p>
    <w:p w14:paraId="741DEB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2.本协议的有效期为双方签字盖章之日起至项目合同履行完成时止。</w:t>
      </w:r>
    </w:p>
    <w:p w14:paraId="592743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方正仿宋_GB2312" w:hAnsi="方正仿宋_GB2312" w:eastAsia="方正仿宋_GB2312" w:cs="方正仿宋_GB2312"/>
          <w:b/>
          <w:bCs/>
          <w:sz w:val="32"/>
          <w:szCs w:val="32"/>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本合同正本一式</w:t>
      </w:r>
      <w:permStart w:id="14" w:edGrp="everyone"/>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lang w:val="en-US" w:eastAsia="zh-CN"/>
        </w:rPr>
        <w:t xml:space="preserve"> </w:t>
      </w:r>
      <w:permEnd w:id="14"/>
      <w:r>
        <w:rPr>
          <w:rFonts w:hint="eastAsia" w:ascii="仿宋_GB2312" w:hAnsi="仿宋_GB2312" w:eastAsia="仿宋_GB2312" w:cs="仿宋_GB2312"/>
          <w:sz w:val="28"/>
          <w:szCs w:val="28"/>
        </w:rPr>
        <w:t>份，双方各执</w:t>
      </w:r>
      <w:permStart w:id="15" w:edGrp="everyone"/>
      <w:r>
        <w:rPr>
          <w:rFonts w:hint="eastAsia" w:ascii="仿宋_GB2312" w:hAnsi="仿宋_GB2312" w:eastAsia="仿宋_GB2312" w:cs="仿宋_GB2312"/>
          <w:sz w:val="28"/>
          <w:szCs w:val="28"/>
          <w:lang w:val="en-US" w:eastAsia="zh-CN"/>
        </w:rPr>
        <w:t xml:space="preserve"> </w:t>
      </w: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 xml:space="preserve"> </w:t>
      </w:r>
      <w:permEnd w:id="15"/>
      <w:r>
        <w:rPr>
          <w:rFonts w:hint="eastAsia" w:ascii="仿宋_GB2312" w:hAnsi="仿宋_GB2312" w:eastAsia="仿宋_GB2312" w:cs="仿宋_GB2312"/>
          <w:sz w:val="28"/>
          <w:szCs w:val="28"/>
        </w:rPr>
        <w:t>份，具有同等法律效力。</w:t>
      </w:r>
    </w:p>
    <w:p w14:paraId="6A8E00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甲乙双方确认在签订本廉洁协议书前已仔细阅读条款内容，甲乙双方对本廉洁协议书所产生的法律责任已清楚知悉并承诺遵守。</w:t>
      </w:r>
    </w:p>
    <w:p w14:paraId="54B186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22384C8E">
      <w:pPr>
        <w:pStyle w:val="4"/>
        <w:rPr>
          <w:rFonts w:hint="eastAsia" w:ascii="方正仿宋_GB2312" w:hAnsi="方正仿宋_GB2312" w:eastAsia="方正仿宋_GB2312" w:cs="方正仿宋_GB2312"/>
          <w:sz w:val="32"/>
          <w:szCs w:val="32"/>
        </w:rPr>
      </w:pPr>
    </w:p>
    <w:p w14:paraId="11562325">
      <w:pPr>
        <w:pStyle w:val="5"/>
        <w:rPr>
          <w:rFonts w:hint="eastAsia"/>
        </w:rPr>
      </w:pPr>
    </w:p>
    <w:p w14:paraId="501DE07B">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lang w:eastAsia="zh-CN"/>
        </w:rPr>
        <w:t>甲方</w:t>
      </w:r>
      <w:r>
        <w:rPr>
          <w:rFonts w:hint="eastAsia" w:ascii="仿宋" w:hAnsi="仿宋" w:eastAsia="仿宋" w:cs="仿宋_GB2312"/>
          <w:sz w:val="28"/>
          <w:szCs w:val="28"/>
        </w:rPr>
        <w:t>（盖章）：</w:t>
      </w:r>
      <w:permStart w:id="16"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溧阳水务市政工程有限公司 </w:t>
      </w:r>
      <w:permEnd w:id="16"/>
    </w:p>
    <w:p w14:paraId="51B9CC1E">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法人或授权代理人（签字或盖章）：</w:t>
      </w:r>
      <w:permStart w:id="17"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17"/>
    </w:p>
    <w:p w14:paraId="714E3AEB">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单位地址：</w:t>
      </w:r>
      <w:permStart w:id="18" w:edGrp="everyone"/>
      <w:r>
        <w:rPr>
          <w:rFonts w:hint="eastAsia" w:ascii="仿宋" w:hAnsi="仿宋" w:eastAsia="仿宋" w:cs="仿宋_GB2312"/>
          <w:sz w:val="28"/>
          <w:szCs w:val="28"/>
          <w:u w:val="single"/>
        </w:rPr>
        <w:t xml:space="preserve"> 溧阳市溧城镇平陵西路31号</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18"/>
    </w:p>
    <w:p w14:paraId="20A487F8">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联系电话：</w:t>
      </w:r>
      <w:permStart w:id="19" w:edGrp="everyone"/>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0519-87597128</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19"/>
    </w:p>
    <w:p w14:paraId="0B270806">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开户银行：</w:t>
      </w:r>
      <w:permStart w:id="20"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交通银行常州溧阳支行</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20"/>
    </w:p>
    <w:p w14:paraId="79839036">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银行帐号：</w:t>
      </w:r>
      <w:permStart w:id="21" w:edGrp="everyone"/>
      <w:r>
        <w:rPr>
          <w:rFonts w:hint="eastAsia" w:ascii="仿宋" w:hAnsi="仿宋" w:eastAsia="仿宋" w:cs="仿宋_GB2312"/>
          <w:sz w:val="28"/>
          <w:szCs w:val="28"/>
          <w:u w:val="single"/>
        </w:rPr>
        <w:t xml:space="preserve"> 324006100018150386330</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21"/>
    </w:p>
    <w:p w14:paraId="7BA9DCCF">
      <w:pPr>
        <w:spacing w:line="360" w:lineRule="auto"/>
        <w:rPr>
          <w:rFonts w:ascii="仿宋" w:hAnsi="仿宋" w:eastAsia="仿宋" w:cs="仿宋_GB2312"/>
          <w:sz w:val="28"/>
          <w:szCs w:val="28"/>
        </w:rPr>
      </w:pPr>
    </w:p>
    <w:p w14:paraId="2761245A">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lang w:eastAsia="zh-CN"/>
        </w:rPr>
        <w:t>乙方</w:t>
      </w:r>
      <w:r>
        <w:rPr>
          <w:rFonts w:hint="eastAsia" w:ascii="仿宋" w:hAnsi="仿宋" w:eastAsia="仿宋" w:cs="仿宋_GB2312"/>
          <w:sz w:val="28"/>
          <w:szCs w:val="28"/>
        </w:rPr>
        <w:t>（盖章）：</w:t>
      </w:r>
      <w:permStart w:id="22" w:edGrp="everyone"/>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安徽春和诚建设工程有限公司</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22"/>
    </w:p>
    <w:p w14:paraId="01785687">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法人或授权代理人（签字或盖章）：</w:t>
      </w:r>
      <w:permStart w:id="23"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23"/>
    </w:p>
    <w:p w14:paraId="7B4B8464">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单位地址：</w:t>
      </w:r>
      <w:permStart w:id="24"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金寨县现代产业园区莲花山路乐汇城A栋10楼</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24"/>
    </w:p>
    <w:p w14:paraId="714BA2D8">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联系电话：</w:t>
      </w:r>
      <w:permStart w:id="25"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15212414530</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25"/>
    </w:p>
    <w:p w14:paraId="0DB6A9F2">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开户银行：</w:t>
      </w:r>
      <w:permStart w:id="26"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徽商银行股份有限公司六安金寨支行</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26"/>
    </w:p>
    <w:p w14:paraId="3A729EA6">
      <w:pPr>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银行帐号：</w:t>
      </w:r>
      <w:permStart w:id="27"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default" w:ascii="仿宋" w:hAnsi="仿宋" w:eastAsia="仿宋" w:cs="仿宋_GB2312"/>
          <w:sz w:val="28"/>
          <w:szCs w:val="28"/>
          <w:u w:val="single"/>
          <w:lang w:val="en-US" w:eastAsia="zh-CN"/>
        </w:rPr>
        <w:t>1761501021000196516</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27"/>
    </w:p>
    <w:p w14:paraId="4D5E31B4">
      <w:pPr>
        <w:pageBreakBefore w:val="0"/>
        <w:wordWrap/>
        <w:overflowPunct/>
        <w:topLinePunct w:val="0"/>
        <w:bidi w:val="0"/>
        <w:spacing w:before="68" w:line="560" w:lineRule="exact"/>
        <w:ind w:left="0" w:leftChars="0" w:firstLine="0" w:firstLineChars="0"/>
        <w:jc w:val="both"/>
        <w:outlineLvl w:val="9"/>
        <w:rPr>
          <w:rFonts w:hint="eastAsia" w:ascii="仿宋_GB2312" w:hAnsi="黑体" w:eastAsia="仿宋_GB2312" w:cs="黑体"/>
          <w:spacing w:val="-5"/>
          <w:sz w:val="32"/>
          <w:szCs w:val="32"/>
          <w:lang w:eastAsia="zh-CN"/>
        </w:rPr>
      </w:pPr>
    </w:p>
    <w:p w14:paraId="02CEA75A">
      <w:pPr>
        <w:pageBreakBefore w:val="0"/>
        <w:wordWrap/>
        <w:overflowPunct/>
        <w:topLinePunct w:val="0"/>
        <w:bidi w:val="0"/>
        <w:spacing w:before="68" w:line="560" w:lineRule="exact"/>
        <w:ind w:left="0" w:leftChars="0" w:firstLine="0" w:firstLineChars="0"/>
        <w:jc w:val="both"/>
        <w:outlineLvl w:val="9"/>
        <w:rPr>
          <w:rFonts w:hint="eastAsia" w:ascii="仿宋_GB2312" w:hAnsi="黑体" w:eastAsia="仿宋_GB2312" w:cs="黑体"/>
          <w:spacing w:val="-5"/>
          <w:sz w:val="32"/>
          <w:szCs w:val="32"/>
          <w:lang w:eastAsia="zh-CN"/>
        </w:rPr>
      </w:pPr>
    </w:p>
    <w:p w14:paraId="00DD00C0">
      <w:pPr>
        <w:pageBreakBefore w:val="0"/>
        <w:wordWrap/>
        <w:overflowPunct/>
        <w:topLinePunct w:val="0"/>
        <w:bidi w:val="0"/>
        <w:spacing w:before="68" w:line="560" w:lineRule="exact"/>
        <w:ind w:left="0" w:leftChars="0" w:firstLine="0" w:firstLineChars="0"/>
        <w:jc w:val="both"/>
        <w:outlineLvl w:val="9"/>
        <w:rPr>
          <w:rFonts w:hint="eastAsia" w:ascii="仿宋_GB2312" w:hAnsi="黑体" w:eastAsia="仿宋_GB2312" w:cs="黑体"/>
          <w:spacing w:val="-5"/>
          <w:sz w:val="32"/>
          <w:szCs w:val="32"/>
          <w:lang w:eastAsia="zh-CN"/>
        </w:rPr>
      </w:pPr>
    </w:p>
    <w:p w14:paraId="2DBFACA0">
      <w:pPr>
        <w:pageBreakBefore w:val="0"/>
        <w:wordWrap/>
        <w:overflowPunct/>
        <w:topLinePunct w:val="0"/>
        <w:bidi w:val="0"/>
        <w:spacing w:before="68" w:line="560" w:lineRule="exact"/>
        <w:ind w:left="0" w:leftChars="0" w:firstLine="0" w:firstLineChars="0"/>
        <w:jc w:val="both"/>
        <w:outlineLvl w:val="9"/>
        <w:rPr>
          <w:rFonts w:hint="eastAsia" w:ascii="仿宋_GB2312" w:hAnsi="黑体" w:eastAsia="仿宋_GB2312" w:cs="黑体"/>
          <w:spacing w:val="-5"/>
          <w:sz w:val="32"/>
          <w:szCs w:val="32"/>
          <w:lang w:eastAsia="zh-CN"/>
        </w:rPr>
      </w:pPr>
    </w:p>
    <w:p w14:paraId="6B66CF97">
      <w:pPr>
        <w:pageBreakBefore w:val="0"/>
        <w:wordWrap/>
        <w:overflowPunct/>
        <w:topLinePunct w:val="0"/>
        <w:bidi w:val="0"/>
        <w:spacing w:before="68" w:line="560" w:lineRule="exact"/>
        <w:ind w:left="0" w:leftChars="0" w:firstLine="0" w:firstLineChars="0"/>
        <w:jc w:val="both"/>
        <w:outlineLvl w:val="9"/>
        <w:rPr>
          <w:rFonts w:hint="eastAsia" w:ascii="仿宋_GB2312" w:hAnsi="黑体" w:eastAsia="仿宋_GB2312" w:cs="黑体"/>
          <w:spacing w:val="-5"/>
          <w:sz w:val="32"/>
          <w:szCs w:val="32"/>
          <w:lang w:eastAsia="zh-CN"/>
        </w:rPr>
      </w:pPr>
    </w:p>
    <w:p w14:paraId="34ABD416">
      <w:pPr>
        <w:pageBreakBefore w:val="0"/>
        <w:wordWrap/>
        <w:overflowPunct/>
        <w:topLinePunct w:val="0"/>
        <w:bidi w:val="0"/>
        <w:spacing w:before="68" w:line="560" w:lineRule="exact"/>
        <w:ind w:left="0" w:leftChars="0" w:firstLine="0" w:firstLineChars="0"/>
        <w:jc w:val="both"/>
        <w:outlineLvl w:val="9"/>
        <w:rPr>
          <w:rFonts w:hint="eastAsia" w:ascii="仿宋_GB2312" w:hAnsi="黑体" w:eastAsia="仿宋_GB2312" w:cs="黑体"/>
          <w:spacing w:val="-5"/>
          <w:sz w:val="32"/>
          <w:szCs w:val="32"/>
          <w:lang w:eastAsia="zh-CN"/>
        </w:rPr>
      </w:pPr>
    </w:p>
    <w:p w14:paraId="1232926D">
      <w:pPr>
        <w:pageBreakBefore w:val="0"/>
        <w:wordWrap/>
        <w:overflowPunct/>
        <w:topLinePunct w:val="0"/>
        <w:bidi w:val="0"/>
        <w:spacing w:before="68" w:line="560" w:lineRule="exact"/>
        <w:ind w:left="0" w:leftChars="0" w:firstLine="0" w:firstLineChars="0"/>
        <w:jc w:val="both"/>
        <w:outlineLvl w:val="9"/>
        <w:rPr>
          <w:rFonts w:hint="eastAsia" w:ascii="仿宋_GB2312" w:hAnsi="黑体" w:eastAsia="仿宋_GB2312" w:cs="黑体"/>
          <w:spacing w:val="-5"/>
          <w:sz w:val="32"/>
          <w:szCs w:val="32"/>
          <w:lang w:eastAsia="zh-CN"/>
        </w:rPr>
      </w:pPr>
    </w:p>
    <w:p w14:paraId="73C44E21">
      <w:pPr>
        <w:pageBreakBefore w:val="0"/>
        <w:wordWrap/>
        <w:overflowPunct/>
        <w:topLinePunct w:val="0"/>
        <w:bidi w:val="0"/>
        <w:spacing w:before="68" w:line="560" w:lineRule="exact"/>
        <w:ind w:left="0" w:leftChars="0" w:firstLine="0" w:firstLineChars="0"/>
        <w:jc w:val="both"/>
        <w:outlineLvl w:val="9"/>
        <w:rPr>
          <w:rFonts w:hint="eastAsia" w:ascii="仿宋_GB2312" w:hAnsi="黑体" w:eastAsia="仿宋_GB2312" w:cs="黑体"/>
          <w:spacing w:val="-5"/>
          <w:sz w:val="32"/>
          <w:szCs w:val="32"/>
          <w:lang w:eastAsia="zh-CN"/>
        </w:rPr>
      </w:pPr>
    </w:p>
    <w:p w14:paraId="1C29A0CE">
      <w:pPr>
        <w:pageBreakBefore w:val="0"/>
        <w:wordWrap/>
        <w:overflowPunct/>
        <w:topLinePunct w:val="0"/>
        <w:bidi w:val="0"/>
        <w:spacing w:before="68" w:line="560" w:lineRule="exact"/>
        <w:ind w:left="0" w:leftChars="0" w:firstLine="0" w:firstLineChars="0"/>
        <w:jc w:val="both"/>
        <w:outlineLvl w:val="9"/>
        <w:rPr>
          <w:rFonts w:hint="eastAsia" w:ascii="仿宋_GB2312" w:hAnsi="黑体" w:eastAsia="仿宋_GB2312" w:cs="黑体"/>
          <w:spacing w:val="-5"/>
          <w:sz w:val="32"/>
          <w:szCs w:val="32"/>
          <w:lang w:eastAsia="zh-CN"/>
        </w:rPr>
      </w:pPr>
    </w:p>
    <w:p w14:paraId="12564BDA">
      <w:pPr>
        <w:pageBreakBefore w:val="0"/>
        <w:wordWrap/>
        <w:overflowPunct/>
        <w:topLinePunct w:val="0"/>
        <w:bidi w:val="0"/>
        <w:spacing w:before="68" w:line="560" w:lineRule="exact"/>
        <w:ind w:left="0" w:leftChars="0" w:firstLine="0" w:firstLineChars="0"/>
        <w:jc w:val="both"/>
        <w:outlineLvl w:val="9"/>
        <w:rPr>
          <w:rFonts w:hint="default" w:ascii="仿宋_GB2312" w:hAnsi="黑体" w:eastAsia="仿宋_GB2312" w:cs="黑体"/>
          <w:sz w:val="32"/>
          <w:szCs w:val="32"/>
          <w:lang w:val="en-US" w:eastAsia="zh-CN"/>
        </w:rPr>
      </w:pPr>
      <w:r>
        <w:rPr>
          <w:rFonts w:hint="eastAsia" w:ascii="仿宋_GB2312" w:hAnsi="黑体" w:eastAsia="仿宋_GB2312" w:cs="黑体"/>
          <w:spacing w:val="-5"/>
          <w:sz w:val="32"/>
          <w:szCs w:val="32"/>
          <w:lang w:eastAsia="zh-CN"/>
        </w:rPr>
        <w:t>附件</w:t>
      </w:r>
      <w:r>
        <w:rPr>
          <w:rFonts w:hint="eastAsia" w:ascii="仿宋_GB2312" w:hAnsi="黑体" w:eastAsia="仿宋_GB2312" w:cs="黑体"/>
          <w:spacing w:val="-47"/>
          <w:sz w:val="32"/>
          <w:szCs w:val="32"/>
          <w:lang w:val="en-US" w:eastAsia="zh-CN"/>
        </w:rPr>
        <w:t>2</w:t>
      </w:r>
    </w:p>
    <w:p w14:paraId="0DEC2E91">
      <w:pPr>
        <w:ind w:firstLine="883" w:firstLineChars="20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安全生产协议</w:t>
      </w:r>
    </w:p>
    <w:p w14:paraId="7DDDC314">
      <w:pPr>
        <w:ind w:firstLine="560" w:firstLineChars="200"/>
        <w:rPr>
          <w:rFonts w:hint="eastAsia" w:ascii="仿宋_GB2312" w:hAnsi="仿宋_GB2312" w:eastAsia="仿宋_GB2312" w:cs="仿宋_GB2312"/>
          <w:sz w:val="28"/>
          <w:szCs w:val="28"/>
        </w:rPr>
      </w:pPr>
    </w:p>
    <w:tbl>
      <w:tblPr>
        <w:tblStyle w:val="6"/>
        <w:tblW w:w="7938" w:type="dxa"/>
        <w:tblInd w:w="675" w:type="dxa"/>
        <w:tblLayout w:type="autofit"/>
        <w:tblCellMar>
          <w:top w:w="0" w:type="dxa"/>
          <w:left w:w="108" w:type="dxa"/>
          <w:bottom w:w="0" w:type="dxa"/>
          <w:right w:w="108" w:type="dxa"/>
        </w:tblCellMar>
      </w:tblPr>
      <w:tblGrid>
        <w:gridCol w:w="2376"/>
        <w:gridCol w:w="5562"/>
      </w:tblGrid>
      <w:tr w14:paraId="000921B2">
        <w:tblPrEx>
          <w:tblCellMar>
            <w:top w:w="0" w:type="dxa"/>
            <w:left w:w="108" w:type="dxa"/>
            <w:bottom w:w="0" w:type="dxa"/>
            <w:right w:w="108" w:type="dxa"/>
          </w:tblCellMar>
        </w:tblPrEx>
        <w:tc>
          <w:tcPr>
            <w:tcW w:w="2376" w:type="dxa"/>
            <w:noWrap w:val="0"/>
            <w:vAlign w:val="top"/>
          </w:tcPr>
          <w:p w14:paraId="4F6F21DC">
            <w:pPr>
              <w:adjustRightInd w:val="0"/>
              <w:spacing w:line="360" w:lineRule="auto"/>
              <w:jc w:val="left"/>
              <w:rPr>
                <w:rFonts w:hint="eastAsia" w:ascii="仿宋" w:hAnsi="仿宋" w:eastAsia="仿宋" w:cs="仿宋_GB2312"/>
                <w:sz w:val="28"/>
                <w:szCs w:val="28"/>
              </w:rPr>
            </w:pPr>
            <w:r>
              <w:rPr>
                <w:rFonts w:hint="eastAsia" w:ascii="仿宋" w:hAnsi="仿宋" w:eastAsia="仿宋" w:cs="仿宋_GB2312"/>
                <w:sz w:val="28"/>
                <w:szCs w:val="28"/>
                <w:lang w:eastAsia="zh-CN"/>
              </w:rPr>
              <w:t>甲方</w:t>
            </w:r>
            <w:r>
              <w:rPr>
                <w:rFonts w:hint="eastAsia" w:ascii="仿宋" w:hAnsi="仿宋" w:eastAsia="仿宋" w:cs="仿宋_GB2312"/>
                <w:sz w:val="28"/>
                <w:szCs w:val="28"/>
              </w:rPr>
              <w:t>：</w:t>
            </w:r>
          </w:p>
        </w:tc>
        <w:tc>
          <w:tcPr>
            <w:tcW w:w="5562" w:type="dxa"/>
            <w:noWrap w:val="0"/>
            <w:vAlign w:val="top"/>
          </w:tcPr>
          <w:p w14:paraId="5A2A9DBD">
            <w:pPr>
              <w:adjustRightInd w:val="0"/>
              <w:spacing w:line="360" w:lineRule="auto"/>
              <w:jc w:val="left"/>
              <w:rPr>
                <w:rFonts w:hint="eastAsia" w:ascii="仿宋" w:hAnsi="仿宋" w:eastAsia="仿宋" w:cs="仿宋_GB2312"/>
                <w:sz w:val="28"/>
                <w:szCs w:val="28"/>
              </w:rPr>
            </w:pPr>
            <w:permStart w:id="28" w:edGrp="everyone"/>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溧阳水务市政工程有限公司</w:t>
            </w:r>
            <w:r>
              <w:rPr>
                <w:rFonts w:hint="eastAsia" w:ascii="仿宋" w:hAnsi="仿宋" w:eastAsia="仿宋" w:cs="仿宋_GB2312"/>
                <w:sz w:val="28"/>
                <w:szCs w:val="28"/>
                <w:u w:val="single"/>
              </w:rPr>
              <w:t xml:space="preserve">     </w:t>
            </w:r>
            <w:permEnd w:id="28"/>
            <w:r>
              <w:rPr>
                <w:rFonts w:hint="eastAsia" w:ascii="仿宋" w:hAnsi="仿宋" w:eastAsia="仿宋" w:cs="仿宋_GB2312"/>
                <w:sz w:val="28"/>
                <w:szCs w:val="28"/>
                <w:u w:val="single"/>
              </w:rPr>
              <w:t xml:space="preserve">      </w:t>
            </w:r>
          </w:p>
        </w:tc>
      </w:tr>
      <w:tr w14:paraId="6C8126F9">
        <w:tblPrEx>
          <w:tblCellMar>
            <w:top w:w="0" w:type="dxa"/>
            <w:left w:w="108" w:type="dxa"/>
            <w:bottom w:w="0" w:type="dxa"/>
            <w:right w:w="108" w:type="dxa"/>
          </w:tblCellMar>
        </w:tblPrEx>
        <w:tc>
          <w:tcPr>
            <w:tcW w:w="2376" w:type="dxa"/>
            <w:noWrap w:val="0"/>
            <w:vAlign w:val="top"/>
          </w:tcPr>
          <w:p w14:paraId="2417B12E">
            <w:pPr>
              <w:adjustRightInd w:val="0"/>
              <w:spacing w:line="360" w:lineRule="auto"/>
              <w:jc w:val="left"/>
              <w:rPr>
                <w:rFonts w:hint="eastAsia" w:ascii="仿宋" w:hAnsi="仿宋" w:eastAsia="仿宋" w:cs="仿宋_GB2312"/>
                <w:sz w:val="28"/>
                <w:szCs w:val="28"/>
              </w:rPr>
            </w:pPr>
            <w:r>
              <w:rPr>
                <w:rFonts w:hint="eastAsia" w:ascii="仿宋" w:hAnsi="仿宋" w:eastAsia="仿宋" w:cs="仿宋_GB2312"/>
                <w:sz w:val="28"/>
                <w:szCs w:val="28"/>
                <w:lang w:eastAsia="zh-CN"/>
              </w:rPr>
              <w:t>乙方</w:t>
            </w:r>
            <w:r>
              <w:rPr>
                <w:rFonts w:hint="eastAsia" w:ascii="仿宋" w:hAnsi="仿宋" w:eastAsia="仿宋" w:cs="仿宋_GB2312"/>
                <w:sz w:val="28"/>
                <w:szCs w:val="28"/>
              </w:rPr>
              <w:t>：</w:t>
            </w:r>
          </w:p>
        </w:tc>
        <w:tc>
          <w:tcPr>
            <w:tcW w:w="5562" w:type="dxa"/>
            <w:noWrap w:val="0"/>
            <w:vAlign w:val="top"/>
          </w:tcPr>
          <w:p w14:paraId="2D220033">
            <w:pPr>
              <w:adjustRightInd w:val="0"/>
              <w:spacing w:line="360" w:lineRule="auto"/>
              <w:jc w:val="left"/>
              <w:rPr>
                <w:rFonts w:hint="eastAsia" w:ascii="仿宋" w:hAnsi="仿宋" w:eastAsia="仿宋" w:cs="仿宋_GB2312"/>
                <w:sz w:val="28"/>
                <w:szCs w:val="28"/>
              </w:rPr>
            </w:pPr>
            <w:permStart w:id="29" w:edGrp="everyone"/>
            <w:r>
              <w:rPr>
                <w:rFonts w:hint="eastAsia" w:ascii="仿宋" w:hAnsi="仿宋" w:eastAsia="仿宋" w:cs="仿宋_GB2312"/>
                <w:sz w:val="28"/>
                <w:szCs w:val="28"/>
                <w:u w:val="single"/>
              </w:rPr>
              <w:t xml:space="preserve"> 安徽春和诚建设工程有限公司          </w:t>
            </w:r>
            <w:permEnd w:id="29"/>
            <w:r>
              <w:rPr>
                <w:rFonts w:hint="eastAsia" w:ascii="仿宋" w:hAnsi="仿宋" w:eastAsia="仿宋" w:cs="仿宋_GB2312"/>
                <w:sz w:val="28"/>
                <w:szCs w:val="28"/>
                <w:u w:val="single"/>
              </w:rPr>
              <w:t xml:space="preserve">  </w:t>
            </w:r>
          </w:p>
        </w:tc>
      </w:tr>
      <w:tr w14:paraId="49554D17">
        <w:tblPrEx>
          <w:tblCellMar>
            <w:top w:w="0" w:type="dxa"/>
            <w:left w:w="108" w:type="dxa"/>
            <w:bottom w:w="0" w:type="dxa"/>
            <w:right w:w="108" w:type="dxa"/>
          </w:tblCellMar>
        </w:tblPrEx>
        <w:trPr>
          <w:trHeight w:val="90" w:hRule="atLeast"/>
        </w:trPr>
        <w:tc>
          <w:tcPr>
            <w:tcW w:w="2376" w:type="dxa"/>
            <w:noWrap w:val="0"/>
            <w:vAlign w:val="top"/>
          </w:tcPr>
          <w:p w14:paraId="4B427602">
            <w:pPr>
              <w:adjustRightInd w:val="0"/>
              <w:spacing w:line="360" w:lineRule="auto"/>
              <w:jc w:val="left"/>
              <w:rPr>
                <w:rFonts w:hint="eastAsia" w:ascii="仿宋" w:hAnsi="仿宋" w:eastAsia="仿宋" w:cs="仿宋_GB2312"/>
                <w:sz w:val="28"/>
                <w:szCs w:val="28"/>
              </w:rPr>
            </w:pPr>
            <w:r>
              <w:rPr>
                <w:rFonts w:hint="eastAsia" w:ascii="仿宋" w:hAnsi="仿宋" w:eastAsia="仿宋" w:cs="仿宋_GB2312"/>
                <w:sz w:val="28"/>
                <w:szCs w:val="28"/>
              </w:rPr>
              <w:t>项目名称：</w:t>
            </w:r>
          </w:p>
        </w:tc>
        <w:tc>
          <w:tcPr>
            <w:tcW w:w="5562" w:type="dxa"/>
            <w:noWrap w:val="0"/>
            <w:vAlign w:val="top"/>
          </w:tcPr>
          <w:p w14:paraId="50AD2724">
            <w:pPr>
              <w:adjustRightInd w:val="0"/>
              <w:spacing w:line="360" w:lineRule="auto"/>
              <w:jc w:val="left"/>
              <w:rPr>
                <w:rFonts w:hint="eastAsia" w:ascii="仿宋" w:hAnsi="仿宋" w:eastAsia="仿宋" w:cs="仿宋_GB2312"/>
                <w:sz w:val="28"/>
                <w:szCs w:val="28"/>
              </w:rPr>
            </w:pPr>
            <w:permStart w:id="30" w:edGrp="everyone"/>
            <w:r>
              <w:rPr>
                <w:rFonts w:hint="eastAsia" w:ascii="仿宋" w:hAnsi="仿宋" w:eastAsia="仿宋" w:cs="仿宋_GB2312"/>
                <w:sz w:val="28"/>
                <w:szCs w:val="28"/>
                <w:u w:val="single"/>
              </w:rPr>
              <w:t xml:space="preserve"> </w:t>
            </w:r>
            <w:r>
              <w:rPr>
                <w:rFonts w:hint="eastAsia" w:ascii="Times New Roman" w:hAnsi="Times New Roman" w:eastAsia="仿宋_GB2312" w:cs="Times New Roman"/>
                <w:sz w:val="28"/>
                <w:szCs w:val="28"/>
                <w:u w:val="single"/>
                <w:lang w:eastAsia="zh-CN"/>
              </w:rPr>
              <w:t>金寨县生活污水处理厂及污水管网一体化项目EPC工程项目小区污水管网疏通专业分包</w:t>
            </w:r>
            <w:r>
              <w:rPr>
                <w:rFonts w:hint="eastAsia" w:ascii="仿宋" w:hAnsi="仿宋" w:eastAsia="仿宋" w:cs="仿宋_GB2312"/>
                <w:sz w:val="28"/>
                <w:szCs w:val="28"/>
                <w:u w:val="single"/>
              </w:rPr>
              <w:t xml:space="preserve">    </w:t>
            </w:r>
            <w:permEnd w:id="30"/>
            <w:r>
              <w:rPr>
                <w:rFonts w:hint="eastAsia" w:ascii="仿宋" w:hAnsi="仿宋" w:eastAsia="仿宋" w:cs="仿宋_GB2312"/>
                <w:sz w:val="28"/>
                <w:szCs w:val="28"/>
                <w:u w:val="single"/>
              </w:rPr>
              <w:t xml:space="preserve">  </w:t>
            </w:r>
          </w:p>
        </w:tc>
      </w:tr>
      <w:tr w14:paraId="29A80D59">
        <w:tblPrEx>
          <w:tblCellMar>
            <w:top w:w="0" w:type="dxa"/>
            <w:left w:w="108" w:type="dxa"/>
            <w:bottom w:w="0" w:type="dxa"/>
            <w:right w:w="108" w:type="dxa"/>
          </w:tblCellMar>
        </w:tblPrEx>
        <w:tc>
          <w:tcPr>
            <w:tcW w:w="2376" w:type="dxa"/>
            <w:noWrap w:val="0"/>
            <w:vAlign w:val="top"/>
          </w:tcPr>
          <w:p w14:paraId="585962E5">
            <w:pPr>
              <w:adjustRightInd w:val="0"/>
              <w:spacing w:line="360" w:lineRule="auto"/>
              <w:jc w:val="left"/>
              <w:rPr>
                <w:rFonts w:hint="eastAsia" w:ascii="仿宋" w:hAnsi="仿宋" w:eastAsia="仿宋" w:cs="仿宋_GB2312"/>
                <w:sz w:val="28"/>
                <w:szCs w:val="28"/>
              </w:rPr>
            </w:pPr>
            <w:r>
              <w:rPr>
                <w:rFonts w:hint="eastAsia" w:ascii="仿宋" w:hAnsi="仿宋" w:eastAsia="仿宋" w:cs="仿宋_GB2312"/>
                <w:sz w:val="28"/>
                <w:szCs w:val="28"/>
              </w:rPr>
              <w:t>项目地点：</w:t>
            </w:r>
          </w:p>
        </w:tc>
        <w:tc>
          <w:tcPr>
            <w:tcW w:w="5562" w:type="dxa"/>
            <w:noWrap w:val="0"/>
            <w:vAlign w:val="top"/>
          </w:tcPr>
          <w:p w14:paraId="5D789CF2">
            <w:pPr>
              <w:adjustRightInd w:val="0"/>
              <w:spacing w:line="360" w:lineRule="auto"/>
              <w:jc w:val="left"/>
              <w:rPr>
                <w:rFonts w:hint="eastAsia" w:ascii="仿宋" w:hAnsi="仿宋" w:eastAsia="仿宋" w:cs="仿宋_GB2312"/>
                <w:sz w:val="28"/>
                <w:szCs w:val="28"/>
              </w:rPr>
            </w:pPr>
            <w:permStart w:id="31" w:edGrp="everyone"/>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六安市金寨县</w:t>
            </w:r>
            <w:r>
              <w:rPr>
                <w:rFonts w:hint="eastAsia" w:ascii="仿宋" w:hAnsi="仿宋" w:eastAsia="仿宋" w:cs="仿宋_GB2312"/>
                <w:sz w:val="28"/>
                <w:szCs w:val="28"/>
                <w:u w:val="single"/>
              </w:rPr>
              <w:t xml:space="preserve">       </w:t>
            </w:r>
            <w:permEnd w:id="31"/>
            <w:r>
              <w:rPr>
                <w:rFonts w:hint="eastAsia" w:ascii="仿宋" w:hAnsi="仿宋" w:eastAsia="仿宋" w:cs="仿宋_GB2312"/>
                <w:sz w:val="28"/>
                <w:szCs w:val="28"/>
                <w:u w:val="single"/>
              </w:rPr>
              <w:t xml:space="preserve">  </w:t>
            </w:r>
          </w:p>
        </w:tc>
      </w:tr>
    </w:tbl>
    <w:p w14:paraId="111D8F2B">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根据《中华人民共和国民法典》《中华人民共和国建筑法》《中华人民共和国安全生产法》《中华人民共和国消防法》等法律法规，甲乙双方经平等协商，自愿达成以下协议。</w:t>
      </w:r>
    </w:p>
    <w:p w14:paraId="6AD80B52">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为实施本项目，</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作为具有独立法人资格的施工单位与</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签订施工合同，</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必须服从</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的安全生产监督管理。</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签订本协议应当视为已经充分理解并全部接受协议内容。</w:t>
      </w:r>
    </w:p>
    <w:p w14:paraId="7F9B97B5">
      <w:pPr>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第一条 </w:t>
      </w:r>
      <w:r>
        <w:rPr>
          <w:rFonts w:hint="eastAsia" w:ascii="仿宋_GB2312" w:hAnsi="仿宋_GB2312" w:cs="仿宋_GB2312"/>
          <w:b/>
          <w:bCs/>
          <w:sz w:val="28"/>
          <w:szCs w:val="28"/>
          <w:lang w:eastAsia="zh-CN"/>
        </w:rPr>
        <w:t>甲方</w:t>
      </w:r>
      <w:r>
        <w:rPr>
          <w:rFonts w:hint="eastAsia" w:ascii="仿宋_GB2312" w:hAnsi="仿宋_GB2312" w:eastAsia="仿宋_GB2312" w:cs="仿宋_GB2312"/>
          <w:b/>
          <w:bCs/>
          <w:sz w:val="28"/>
          <w:szCs w:val="28"/>
        </w:rPr>
        <w:t>的权利与义务</w:t>
      </w:r>
    </w:p>
    <w:p w14:paraId="05EBF54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的资质进行审查，确保</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为独立法人且具备特殊行业资质。</w:t>
      </w:r>
    </w:p>
    <w:p w14:paraId="3F65C7C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安全、环境、治安、消防等依法进行监督管理，有权制止</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的违规作业。发现违反相关法律法规、规范、标准规程、本协议条款的事故隐患，有权责令停工、监督整改并按照</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的管理办法进行处理。对拒不执行</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意见，情节严重者终止合同，所造成的一切经济损失由</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承担。</w:t>
      </w:r>
    </w:p>
    <w:p w14:paraId="140E87E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人员进行全员安全教育，向</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进行作业现场安全交底。</w:t>
      </w:r>
    </w:p>
    <w:p w14:paraId="198E4EC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4.有权责令</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更换安全素质差、不服从安全生产指挥的工作人员。</w:t>
      </w:r>
    </w:p>
    <w:p w14:paraId="5F8A407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5.监督</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对危险源（危险场所、危险作业、危险设备）的）识别、防范措施（包括应遵守的规范、作业人员的资质、资格、保护用具、相关设备、周围环境、电源开关、动火作业）、应急预案、安全检查、安全教育及培训等保证安全生产的一切必要活动。</w:t>
      </w:r>
    </w:p>
    <w:p w14:paraId="0946677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6.有权对</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采购的材料和自带（含租赁）施工机具、设备等进行安全生产监督检查，有权拒绝</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不合格产品进场（已经进场的，限期退场）。</w:t>
      </w:r>
    </w:p>
    <w:p w14:paraId="3A8F43D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在施工过程中出现伤亡事故时，</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接到</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通报后，协助</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进行现场抢救工作。</w:t>
      </w:r>
    </w:p>
    <w:p w14:paraId="3EA0CA8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8.建立安全表现评价准则，定期对</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的安全业绩进行评价。</w:t>
      </w:r>
    </w:p>
    <w:p w14:paraId="27FDB91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cs="仿宋_GB2312"/>
          <w:sz w:val="28"/>
          <w:szCs w:val="28"/>
          <w:lang w:eastAsia="zh-CN"/>
        </w:rPr>
        <w:t>甲方</w:t>
      </w:r>
      <w:r>
        <w:rPr>
          <w:rFonts w:ascii="仿宋_GB2312" w:hAnsi="仿宋_GB2312" w:eastAsia="仿宋_GB2312" w:cs="仿宋_GB2312"/>
          <w:sz w:val="28"/>
          <w:szCs w:val="28"/>
        </w:rPr>
        <w:t>指定</w:t>
      </w:r>
      <w:permStart w:id="32" w:edGrp="everyone"/>
      <w:r>
        <w:rPr>
          <w:rFonts w:hint="eastAsia" w:ascii="仿宋_GB2312" w:hAnsi="仿宋_GB2312" w:eastAsia="仿宋_GB2312" w:cs="仿宋_GB2312"/>
          <w:sz w:val="28"/>
          <w:szCs w:val="28"/>
          <w:lang w:val="en-US" w:eastAsia="zh-CN"/>
        </w:rPr>
        <w:t>徐金平</w:t>
      </w:r>
      <w:permEnd w:id="32"/>
      <w:r>
        <w:rPr>
          <w:rFonts w:ascii="仿宋_GB2312" w:hAnsi="仿宋_GB2312" w:eastAsia="仿宋_GB2312" w:cs="仿宋_GB2312"/>
          <w:sz w:val="28"/>
          <w:szCs w:val="28"/>
        </w:rPr>
        <w:t>电话：</w:t>
      </w:r>
      <w:r>
        <w:rPr>
          <w:rFonts w:hint="eastAsia" w:ascii="仿宋_GB2312" w:hAnsi="仿宋_GB2312" w:eastAsia="仿宋_GB2312" w:cs="仿宋_GB2312"/>
          <w:sz w:val="28"/>
          <w:szCs w:val="28"/>
          <w:lang w:val="en-US" w:eastAsia="zh-CN"/>
        </w:rPr>
        <w:t>13357969937</w:t>
      </w:r>
      <w:r>
        <w:rPr>
          <w:rFonts w:ascii="仿宋_GB2312" w:hAnsi="仿宋_GB2312" w:eastAsia="仿宋_GB2312" w:cs="仿宋_GB2312"/>
          <w:sz w:val="28"/>
          <w:szCs w:val="28"/>
        </w:rPr>
        <w:t>作为</w:t>
      </w:r>
      <w:r>
        <w:rPr>
          <w:rFonts w:hint="eastAsia" w:ascii="仿宋_GB2312" w:hAnsi="仿宋_GB2312" w:eastAsia="仿宋_GB2312" w:cs="仿宋_GB2312"/>
          <w:sz w:val="28"/>
          <w:szCs w:val="28"/>
        </w:rPr>
        <w:t>安全负责人，</w:t>
      </w:r>
      <w:r>
        <w:rPr>
          <w:rFonts w:ascii="仿宋_GB2312" w:hAnsi="仿宋_GB2312" w:eastAsia="仿宋_GB2312" w:cs="仿宋_GB2312"/>
          <w:sz w:val="28"/>
          <w:szCs w:val="28"/>
        </w:rPr>
        <w:t>具有相应管理能力，对安全管理事项负责</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指定</w:t>
      </w:r>
      <w:permStart w:id="33" w:edGrp="everyone"/>
      <w:r>
        <w:rPr>
          <w:rFonts w:hint="eastAsia" w:ascii="仿宋_GB2312" w:hAnsi="仿宋_GB2312" w:eastAsia="仿宋_GB2312" w:cs="仿宋_GB2312"/>
          <w:sz w:val="28"/>
          <w:szCs w:val="28"/>
          <w:lang w:val="en-US" w:eastAsia="zh-CN"/>
        </w:rPr>
        <w:t>徐金平</w:t>
      </w:r>
      <w:permEnd w:id="33"/>
      <w:r>
        <w:rPr>
          <w:rFonts w:ascii="仿宋_GB2312" w:hAnsi="仿宋_GB2312" w:eastAsia="仿宋_GB2312" w:cs="仿宋_GB2312"/>
          <w:sz w:val="28"/>
          <w:szCs w:val="28"/>
        </w:rPr>
        <w:t>电话：</w:t>
      </w:r>
      <w:r>
        <w:rPr>
          <w:rFonts w:hint="eastAsia" w:ascii="仿宋_GB2312" w:hAnsi="仿宋_GB2312" w:eastAsia="仿宋_GB2312" w:cs="仿宋_GB2312"/>
          <w:sz w:val="28"/>
          <w:szCs w:val="28"/>
          <w:lang w:val="en-US" w:eastAsia="zh-CN"/>
        </w:rPr>
        <w:t>13357969937</w:t>
      </w:r>
      <w:r>
        <w:rPr>
          <w:rFonts w:ascii="仿宋_GB2312" w:hAnsi="仿宋_GB2312" w:eastAsia="仿宋_GB2312" w:cs="仿宋_GB2312"/>
          <w:sz w:val="28"/>
          <w:szCs w:val="28"/>
        </w:rPr>
        <w:t>作为</w:t>
      </w:r>
      <w:r>
        <w:rPr>
          <w:rFonts w:hint="eastAsia" w:ascii="仿宋_GB2312" w:hAnsi="仿宋_GB2312" w:eastAsia="仿宋_GB2312" w:cs="仿宋_GB2312"/>
          <w:sz w:val="28"/>
          <w:szCs w:val="28"/>
        </w:rPr>
        <w:t>安全督导员，</w:t>
      </w:r>
      <w:r>
        <w:rPr>
          <w:rFonts w:ascii="仿宋_GB2312" w:hAnsi="仿宋_GB2312" w:eastAsia="仿宋_GB2312" w:cs="仿宋_GB2312"/>
          <w:sz w:val="28"/>
          <w:szCs w:val="28"/>
        </w:rPr>
        <w:t>落实</w:t>
      </w:r>
      <w:r>
        <w:rPr>
          <w:rFonts w:hint="eastAsia" w:ascii="仿宋_GB2312" w:hAnsi="仿宋_GB2312" w:eastAsia="仿宋_GB2312" w:cs="仿宋_GB2312"/>
          <w:sz w:val="28"/>
          <w:szCs w:val="28"/>
        </w:rPr>
        <w:t>具体</w:t>
      </w:r>
      <w:r>
        <w:rPr>
          <w:rFonts w:ascii="仿宋_GB2312" w:hAnsi="仿宋_GB2312" w:eastAsia="仿宋_GB2312" w:cs="仿宋_GB2312"/>
          <w:sz w:val="28"/>
          <w:szCs w:val="28"/>
        </w:rPr>
        <w:t>安全生产管理工作。</w:t>
      </w:r>
    </w:p>
    <w:p w14:paraId="19BBFED5">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第二条 </w:t>
      </w:r>
      <w:r>
        <w:rPr>
          <w:rFonts w:hint="eastAsia" w:ascii="仿宋_GB2312" w:hAnsi="仿宋_GB2312" w:cs="仿宋_GB2312"/>
          <w:b/>
          <w:bCs/>
          <w:sz w:val="28"/>
          <w:szCs w:val="28"/>
          <w:lang w:eastAsia="zh-CN"/>
        </w:rPr>
        <w:t>乙方</w:t>
      </w:r>
      <w:r>
        <w:rPr>
          <w:rFonts w:hint="eastAsia" w:ascii="仿宋_GB2312" w:hAnsi="仿宋_GB2312" w:eastAsia="仿宋_GB2312" w:cs="仿宋_GB2312"/>
          <w:b/>
          <w:bCs/>
          <w:sz w:val="28"/>
          <w:szCs w:val="28"/>
        </w:rPr>
        <w:t>的权利与义务</w:t>
      </w:r>
    </w:p>
    <w:p w14:paraId="47B0DF5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须遵守国家相关法律、法规、标准和</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的规章制度，并负责所承包工作范围内的生产安全管理、消防安全管理、文明施工管理、治安管理、交通管理、资产管理、环境卫生管理、职业健康管理等工作，服从</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管理。</w:t>
      </w:r>
    </w:p>
    <w:p w14:paraId="166D1F8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须根据所承包的工作范围，按照国家相关法律、法规、标准和</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的要求，保证在生产安全、消防安全、文明施工、治安、交通、资产、环境卫生、职业健康等方面的资金投入和相关措施的落实。</w:t>
      </w:r>
    </w:p>
    <w:p w14:paraId="456199D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应在资格等级许可范围内承揽业务，不得使用应当淘汰的危及生产安全及消防安全的工艺、设备等。</w:t>
      </w:r>
    </w:p>
    <w:p w14:paraId="1F88F50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的现场主要负责人（项目经理）对所承包工作范围内的安全生产工作全面负责，建立健全本单位的安全组织机构和各项安全管理制度及安全操作规程，从组织、制度以及管理措施上保证安全生产工作的顺利开展。</w:t>
      </w:r>
    </w:p>
    <w:p w14:paraId="24CCE8C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须按国家相关法律法规、</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的要求，设置安全管理机构并配备专职安全管理人员。</w:t>
      </w:r>
    </w:p>
    <w:p w14:paraId="58D5E31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应进行定期和专项安全生产检查，及时发现并消除生产、消防安全事故隐患，对不能立即整改的安全隐患，应制定临时防范措施，确保整改期间不发生问题，直至安全隐患整改消除。</w:t>
      </w:r>
    </w:p>
    <w:p w14:paraId="11E7205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7.经</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同意，</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依法将其所承揽的项目分包给其他单位的，应与其签订安全管理协议。</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负责其分包单位的生产安全、消防安全、文明施工、治安管理、交通管理、资产管理、环境卫生、职业健康管理等工作，并承担相应的责任。</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分包需提前向</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报备分包单位资质、安全业绩及安全管理协议，</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有权对分包单位进行安全核查，禁止</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将项目分包给无安全资质、近3年发生过一般及以上安全事故的单位；若分包单位发生安全事故，</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承担连带赔偿责任，</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有权追究</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违约责任”。</w:t>
      </w:r>
    </w:p>
    <w:p w14:paraId="4610E47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施工作业现场与其他单位存在交叉作业的，可能危及对方安全的，应与其签订安全管理协议，明确双方安全责任和应当采取的安全措施，并安排安全管理人员进行安全检查与协调。</w:t>
      </w:r>
    </w:p>
    <w:p w14:paraId="7595801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在履行承包工作范围期间，如接触职业危害因素，应按《中华人民共和国职业病防治法》及</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要求，开展本单位职业健康管理工作。</w:t>
      </w:r>
    </w:p>
    <w:p w14:paraId="1365F3C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10.在工程开工前，协助</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到工程所在地的相关建设管理部门办理施工安全备案手续。</w:t>
      </w:r>
    </w:p>
    <w:p w14:paraId="1CEFAE7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在施工全过程自觉接受工程所在地建设相关部门、</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及监理单位对安全生产工作的统一协调和监督管理。</w:t>
      </w:r>
    </w:p>
    <w:p w14:paraId="56C5CE7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12.施工前，</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必须将项目安全管理组织机构、安全生产、消防管理制度、安全生产技术措施、安全生产应急预案、危险源和防范措施向</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申报备案。对于危险性较大的工程，</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应当制定危险作业一览表。</w:t>
      </w:r>
    </w:p>
    <w:p w14:paraId="5E835BA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13.施工过程中，对人的不安全行为、物品的不安全状态、作业环境的不安全因素和管理缺陷进行控制。定期组织安全检查，及时整改安全隐患，各种安全生产管理工作须留存记录。</w:t>
      </w:r>
    </w:p>
    <w:p w14:paraId="6CB98F6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14.安全生产管理相关资料、文件、法律、规范、标准、规程，在现场要有完整的书面文件。</w:t>
      </w:r>
    </w:p>
    <w:p w14:paraId="579A8FE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15.对</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签发的安全检查整改单应无条件地整改。</w:t>
      </w:r>
    </w:p>
    <w:p w14:paraId="2CE30BE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r>
        <w:rPr>
          <w:rFonts w:hint="eastAsia" w:ascii="仿宋_GB2312" w:hAnsi="仿宋_GB2312" w:cs="仿宋_GB2312"/>
          <w:sz w:val="28"/>
          <w:szCs w:val="28"/>
          <w:lang w:eastAsia="zh-CN"/>
        </w:rPr>
        <w:t>乙方</w:t>
      </w:r>
      <w:r>
        <w:rPr>
          <w:rFonts w:ascii="仿宋_GB2312" w:hAnsi="仿宋_GB2312" w:eastAsia="仿宋_GB2312" w:cs="仿宋_GB2312"/>
          <w:sz w:val="28"/>
          <w:szCs w:val="28"/>
        </w:rPr>
        <w:t>指定</w:t>
      </w:r>
      <w:r>
        <w:rPr>
          <w:rFonts w:hint="eastAsia" w:ascii="仿宋_GB2312" w:hAnsi="仿宋_GB2312" w:eastAsia="仿宋_GB2312" w:cs="仿宋_GB2312"/>
          <w:sz w:val="28"/>
          <w:szCs w:val="28"/>
          <w:lang w:val="en-US" w:eastAsia="zh-CN"/>
        </w:rPr>
        <w:t>汪飞马</w:t>
      </w:r>
      <w:r>
        <w:rPr>
          <w:rFonts w:ascii="仿宋_GB2312" w:hAnsi="仿宋_GB2312" w:eastAsia="仿宋_GB2312" w:cs="仿宋_GB2312"/>
          <w:sz w:val="28"/>
          <w:szCs w:val="28"/>
        </w:rPr>
        <w:t>电话：</w:t>
      </w:r>
      <w:permStart w:id="34" w:edGrp="everyone"/>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w:t>
      </w:r>
      <w:permEnd w:id="34"/>
      <w:r>
        <w:rPr>
          <w:rFonts w:ascii="仿宋_GB2312" w:hAnsi="仿宋_GB2312" w:eastAsia="仿宋_GB2312" w:cs="仿宋_GB2312"/>
          <w:sz w:val="28"/>
          <w:szCs w:val="28"/>
        </w:rPr>
        <w:t>作为</w:t>
      </w:r>
      <w:r>
        <w:rPr>
          <w:rFonts w:hint="eastAsia" w:ascii="仿宋_GB2312" w:hAnsi="仿宋_GB2312" w:eastAsia="仿宋_GB2312" w:cs="仿宋_GB2312"/>
          <w:sz w:val="28"/>
          <w:szCs w:val="28"/>
        </w:rPr>
        <w:t>安全负责人，</w:t>
      </w:r>
      <w:r>
        <w:rPr>
          <w:rFonts w:ascii="仿宋_GB2312" w:hAnsi="仿宋_GB2312" w:eastAsia="仿宋_GB2312" w:cs="仿宋_GB2312"/>
          <w:sz w:val="28"/>
          <w:szCs w:val="28"/>
        </w:rPr>
        <w:t>具有相应管理能力，对安全管理事项负责</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指定</w:t>
      </w:r>
      <w:permStart w:id="35" w:edGrp="everyone"/>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w:t>
      </w:r>
      <w:permEnd w:id="35"/>
      <w:r>
        <w:rPr>
          <w:rFonts w:ascii="仿宋_GB2312" w:hAnsi="仿宋_GB2312" w:eastAsia="仿宋_GB2312" w:cs="仿宋_GB2312"/>
          <w:sz w:val="28"/>
          <w:szCs w:val="28"/>
        </w:rPr>
        <w:t>电话：</w:t>
      </w:r>
      <w:r>
        <w:rPr>
          <w:rFonts w:hint="eastAsia" w:ascii="仿宋_GB2312" w:hAnsi="仿宋_GB2312" w:eastAsia="仿宋_GB2312" w:cs="仿宋_GB2312"/>
          <w:sz w:val="28"/>
          <w:szCs w:val="28"/>
          <w:lang w:val="en-US" w:eastAsia="zh-CN"/>
        </w:rPr>
        <w:t>/</w:t>
      </w:r>
      <w:r>
        <w:rPr>
          <w:rFonts w:ascii="仿宋_GB2312" w:hAnsi="仿宋_GB2312" w:eastAsia="仿宋_GB2312" w:cs="仿宋_GB2312"/>
          <w:sz w:val="28"/>
          <w:szCs w:val="28"/>
        </w:rPr>
        <w:t>作为</w:t>
      </w:r>
      <w:r>
        <w:rPr>
          <w:rFonts w:hint="eastAsia" w:ascii="仿宋_GB2312" w:hAnsi="仿宋_GB2312" w:eastAsia="仿宋_GB2312" w:cs="仿宋_GB2312"/>
          <w:sz w:val="28"/>
          <w:szCs w:val="28"/>
        </w:rPr>
        <w:t>安全督导员，</w:t>
      </w:r>
      <w:r>
        <w:rPr>
          <w:rFonts w:ascii="仿宋_GB2312" w:hAnsi="仿宋_GB2312" w:eastAsia="仿宋_GB2312" w:cs="仿宋_GB2312"/>
          <w:sz w:val="28"/>
          <w:szCs w:val="28"/>
        </w:rPr>
        <w:t>落实</w:t>
      </w:r>
      <w:r>
        <w:rPr>
          <w:rFonts w:hint="eastAsia" w:ascii="仿宋_GB2312" w:hAnsi="仿宋_GB2312" w:eastAsia="仿宋_GB2312" w:cs="仿宋_GB2312"/>
          <w:sz w:val="28"/>
          <w:szCs w:val="28"/>
        </w:rPr>
        <w:t>具体</w:t>
      </w:r>
      <w:r>
        <w:rPr>
          <w:rFonts w:ascii="仿宋_GB2312" w:hAnsi="仿宋_GB2312" w:eastAsia="仿宋_GB2312" w:cs="仿宋_GB2312"/>
          <w:sz w:val="28"/>
          <w:szCs w:val="28"/>
        </w:rPr>
        <w:t>安全生产管理工作，未经</w:t>
      </w:r>
      <w:r>
        <w:rPr>
          <w:rFonts w:hint="eastAsia" w:ascii="仿宋_GB2312" w:hAnsi="仿宋_GB2312" w:cs="仿宋_GB2312"/>
          <w:sz w:val="28"/>
          <w:szCs w:val="28"/>
          <w:lang w:eastAsia="zh-CN"/>
        </w:rPr>
        <w:t>甲方</w:t>
      </w:r>
      <w:r>
        <w:rPr>
          <w:rFonts w:ascii="仿宋_GB2312" w:hAnsi="仿宋_GB2312" w:eastAsia="仿宋_GB2312" w:cs="仿宋_GB2312"/>
          <w:sz w:val="28"/>
          <w:szCs w:val="28"/>
        </w:rPr>
        <w:t>同意不得更换。</w:t>
      </w:r>
    </w:p>
    <w:p w14:paraId="47D57C3A">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第三条 安全文明施工措施费用结算</w:t>
      </w:r>
    </w:p>
    <w:p w14:paraId="5BA37A46">
      <w:pPr>
        <w:ind w:firstLine="560" w:firstLineChars="200"/>
        <w:rPr>
          <w:rFonts w:hint="eastAsia" w:ascii="仿宋" w:hAnsi="仿宋" w:eastAsia="仿宋" w:cs="宋体"/>
          <w:bCs/>
          <w:kern w:val="0"/>
          <w:sz w:val="32"/>
          <w:szCs w:val="32"/>
        </w:rPr>
      </w:pPr>
      <w:r>
        <w:rPr>
          <w:rFonts w:hint="eastAsia" w:ascii="仿宋_GB2312" w:hAnsi="仿宋_GB2312" w:eastAsia="仿宋_GB2312" w:cs="仿宋_GB2312"/>
          <w:sz w:val="28"/>
          <w:szCs w:val="28"/>
        </w:rPr>
        <w:t>安全文明施工措施费用专款专用，</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必须确保安措费的及时投入，每次结算时上报相关发票、现场计量签证单等安措费凭证，对投入安措费进行单独结算、统计，按审批确认的结算金额全额支付，工程竣工决算后结余的安全生产费用，应当退回建设单位。</w:t>
      </w:r>
    </w:p>
    <w:p w14:paraId="758AB9B4">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第四条 项目现场管理</w:t>
      </w:r>
    </w:p>
    <w:p w14:paraId="0801717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1.当作业内容可能危及现场人员安全时，</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应采用防护设施围闭作业现场，并悬挂醒目的警示标志牌。</w:t>
      </w:r>
    </w:p>
    <w:p w14:paraId="716200F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施工现场的场区应干净整齐，施工现场的预留洞口、通道口和建筑物临边部位应当设置整齐、标准的防护装置，各类警示标志设置明显。施工作业面应当保持良好的安全作业环境，余料及时清理、清扫，禁止随意丢弃。施工区范围内的沟道、地面无垃圾，每个作业面都做到“工完料尽场地清”。作业完成后，</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应对现场、占用公共区域进行检查和清理，消除遗留安全隐患或环境卫生问题。</w:t>
      </w:r>
    </w:p>
    <w:p w14:paraId="0ABF8C5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安全组织机构和各项安全管理制度必须按照文明工地的要求张贴；工地主要入口必须悬挂安全施工警示标语，施工现场悬挂安全警示牌。</w:t>
      </w:r>
    </w:p>
    <w:p w14:paraId="1609B32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作业现场必须根据项目风险评估结果，配备种类齐全、数量充足的应急设备与设施（如消防器材、急救物资、应急照明、洗眼器等）。所有设备设施须性能可靠、完好有效，定置管理，并定期进行检查与维护，确保其始终处于可用状态。现场人员应熟知其位置与使用方法。</w:t>
      </w:r>
    </w:p>
    <w:p w14:paraId="6B32B7B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5.补充规定：</w:t>
      </w:r>
      <w:permStart w:id="36"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 xml:space="preserve">  </w:t>
      </w:r>
    </w:p>
    <w:permEnd w:id="36"/>
    <w:p w14:paraId="4E1AB41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（注：请各项目根据实际施工类型、现场环境、合同约定及安全管理制度要求，在此处补充本项目特有的管理要求、技术标准或更细化的执行程序，下同）</w:t>
      </w:r>
    </w:p>
    <w:p w14:paraId="222AC1AB">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第五条 </w:t>
      </w:r>
      <w:r>
        <w:rPr>
          <w:rFonts w:hint="eastAsia" w:ascii="仿宋_GB2312" w:hAnsi="仿宋_GB2312" w:cs="仿宋_GB2312"/>
          <w:b/>
          <w:bCs/>
          <w:sz w:val="28"/>
          <w:szCs w:val="28"/>
          <w:lang w:eastAsia="zh-CN"/>
        </w:rPr>
        <w:t>乙方</w:t>
      </w:r>
      <w:r>
        <w:rPr>
          <w:rFonts w:hint="eastAsia" w:ascii="仿宋_GB2312" w:hAnsi="仿宋_GB2312" w:eastAsia="仿宋_GB2312" w:cs="仿宋_GB2312"/>
          <w:b/>
          <w:bCs/>
          <w:sz w:val="28"/>
          <w:szCs w:val="28"/>
        </w:rPr>
        <w:t>人员管理</w:t>
      </w:r>
    </w:p>
    <w:p w14:paraId="2CC290F7">
      <w:pPr>
        <w:ind w:firstLine="560" w:firstLineChars="200"/>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作业人员必须严格遵守《安全生产管理制度》《安全操作规程》及有关安全生产技术规范开展作业，严禁出现违章作业行为。</w:t>
      </w:r>
    </w:p>
    <w:p w14:paraId="1A9ADA47">
      <w:pPr>
        <w:ind w:firstLine="560" w:firstLineChars="200"/>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必须为作业人员提供适用的劳动防护用品，并监督其正确使用。</w:t>
      </w:r>
    </w:p>
    <w:p w14:paraId="49255C3B">
      <w:pPr>
        <w:ind w:firstLine="560" w:firstLineChars="200"/>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须严格有效地实施从业人员安全生产教育培训，未经教育培训或者教育培训考核不合格的人员，不得上岗作业。</w:t>
      </w:r>
    </w:p>
    <w:p w14:paraId="302650CC">
      <w:pPr>
        <w:ind w:firstLine="560" w:firstLineChars="200"/>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作业人员必须依据有关法律法规要求取得有效证件，持证上岗，</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应于作业前将作业人员资质证复印件交</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备案。</w:t>
      </w:r>
    </w:p>
    <w:p w14:paraId="09DD04F2">
      <w:pPr>
        <w:ind w:firstLine="560" w:firstLineChars="200"/>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5</w:t>
      </w:r>
      <w:r>
        <w:rPr>
          <w:rFonts w:hint="eastAsia" w:ascii="仿宋_GB2312" w:hAnsi="仿宋_GB2312" w:eastAsia="仿宋_GB2312" w:cs="仿宋_GB2312"/>
          <w:sz w:val="28"/>
          <w:szCs w:val="28"/>
        </w:rPr>
        <w:t>.所有施工人员必须符合施工地有关外来人员管理规定，</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必须建立人事管理档案，并到施工地所在地公安部门办理人员登记手续，确保三证齐全。</w:t>
      </w:r>
    </w:p>
    <w:p w14:paraId="61E2332C">
      <w:pPr>
        <w:ind w:firstLine="560" w:firstLineChars="200"/>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施工人员进入施工现场前，须向</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管理部门申报，经</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管理部门、项目负责人审批后，到</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安全生产管理部门办理《施工证》。《施工证》由施工人员本人保管，不得私自涂改或转借，施工结束后证件由</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统一收回返还，否则押金不予退还，遗失补办的按</w:t>
      </w:r>
      <w:permStart w:id="37"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100</w:t>
      </w:r>
      <w:r>
        <w:rPr>
          <w:rFonts w:hint="eastAsia" w:ascii="仿宋_GB2312" w:hAnsi="仿宋_GB2312" w:eastAsia="仿宋_GB2312" w:cs="仿宋_GB2312"/>
          <w:sz w:val="28"/>
          <w:szCs w:val="28"/>
        </w:rPr>
        <w:t xml:space="preserve"> </w:t>
      </w:r>
      <w:permEnd w:id="37"/>
      <w:r>
        <w:rPr>
          <w:rFonts w:hint="eastAsia" w:ascii="仿宋_GB2312" w:hAnsi="仿宋_GB2312" w:eastAsia="仿宋_GB2312" w:cs="仿宋_GB2312"/>
          <w:sz w:val="28"/>
          <w:szCs w:val="28"/>
        </w:rPr>
        <w:t>元/张补办，正常损坏的可以旧换新。</w:t>
      </w:r>
    </w:p>
    <w:p w14:paraId="3959EC2E">
      <w:pPr>
        <w:ind w:firstLine="560" w:firstLineChars="200"/>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7</w:t>
      </w:r>
      <w:r>
        <w:rPr>
          <w:rFonts w:hint="eastAsia" w:ascii="仿宋_GB2312" w:hAnsi="仿宋_GB2312" w:eastAsia="仿宋_GB2312" w:cs="仿宋_GB2312"/>
          <w:sz w:val="28"/>
          <w:szCs w:val="28"/>
        </w:rPr>
        <w:t>.施工人员进场应主动出示证件，自觉接受</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安全检查，无证人员一律谢绝进入项目现场，施工期间只能在指定施工区域施工，不准随意串岗或私自动用</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的设备、设施。</w:t>
      </w:r>
    </w:p>
    <w:p w14:paraId="698571CE">
      <w:pPr>
        <w:ind w:firstLine="560" w:firstLineChars="200"/>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8</w:t>
      </w:r>
      <w:r>
        <w:rPr>
          <w:rFonts w:hint="eastAsia" w:ascii="仿宋_GB2312" w:hAnsi="仿宋_GB2312" w:eastAsia="仿宋_GB2312" w:cs="仿宋_GB2312"/>
          <w:sz w:val="28"/>
          <w:szCs w:val="28"/>
        </w:rPr>
        <w:t>.施工前须指派具有合格资质的安全生产管理人员常驻施工现场，负责该工程的安全、卫生、防火工作。安全生产管理人员应佩戴明显的安全标志，接受</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的统一协调和监督，教育施工人员遵守安全操作规程。根据工程特点制定安全措施，做好安全教育和安全技术交底工作，保证进场施工人员经过安全教育，必须持本岗位有效证件上岗。</w:t>
      </w:r>
    </w:p>
    <w:p w14:paraId="17C5680A">
      <w:pPr>
        <w:ind w:firstLine="560" w:firstLineChars="200"/>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9</w:t>
      </w:r>
      <w:r>
        <w:rPr>
          <w:rFonts w:hint="eastAsia" w:ascii="仿宋_GB2312" w:hAnsi="仿宋_GB2312" w:eastAsia="仿宋_GB2312" w:cs="仿宋_GB2312"/>
          <w:sz w:val="28"/>
          <w:szCs w:val="28"/>
        </w:rPr>
        <w:t>.开工前，将施工人员的情况如实向</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报告并接受</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的安全教育。有人员调整时要及时通报</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；施工现场不得录用不符合国家有关法律、法规规定的人员。</w:t>
      </w:r>
    </w:p>
    <w:p w14:paraId="1118A61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val="en-US" w:eastAsia="zh-CN"/>
        </w:rPr>
        <w:t>0</w:t>
      </w:r>
      <w:r>
        <w:rPr>
          <w:rFonts w:hint="eastAsia" w:ascii="仿宋_GB2312" w:hAnsi="仿宋_GB2312" w:eastAsia="仿宋_GB2312" w:cs="仿宋_GB2312"/>
          <w:sz w:val="28"/>
          <w:szCs w:val="28"/>
        </w:rPr>
        <w:t>.施工人员进入项目现场必须着装整齐，严禁在车间内袒胸、光背、穿拖鞋、吸烟等。不得损坏</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的设备设施，不得拿</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及员工财物。项目现场内禁止大声喧哗、躺卧、随地便溺、打架斗殴。</w:t>
      </w:r>
    </w:p>
    <w:p w14:paraId="7688F12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施工所用物资由</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自行保管，夜间应安排专人值班。未经</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批准，</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不得私自安排施工人员在施工现场食宿、生火取暖和做饭。</w:t>
      </w:r>
    </w:p>
    <w:p w14:paraId="78F118C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.补充规定：</w:t>
      </w:r>
      <w:permStart w:id="38"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 xml:space="preserve">  </w:t>
      </w:r>
      <w:permEnd w:id="38"/>
    </w:p>
    <w:p w14:paraId="30511155">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第六条 </w:t>
      </w:r>
      <w:r>
        <w:rPr>
          <w:rFonts w:hint="eastAsia" w:ascii="仿宋_GB2312" w:hAnsi="仿宋_GB2312" w:cs="仿宋_GB2312"/>
          <w:b/>
          <w:bCs/>
          <w:sz w:val="28"/>
          <w:szCs w:val="28"/>
          <w:lang w:eastAsia="zh-CN"/>
        </w:rPr>
        <w:t>乙方</w:t>
      </w:r>
      <w:r>
        <w:rPr>
          <w:rFonts w:hint="eastAsia" w:ascii="仿宋_GB2312" w:hAnsi="仿宋_GB2312" w:eastAsia="仿宋_GB2312" w:cs="仿宋_GB2312"/>
          <w:b/>
          <w:bCs/>
          <w:sz w:val="28"/>
          <w:szCs w:val="28"/>
        </w:rPr>
        <w:t>设备管理</w:t>
      </w:r>
    </w:p>
    <w:p w14:paraId="1A5741D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应保证其使用的工程器械、施工工具和特种设备（起重机械、压力容器等）符合相关规定要求，并保证使用者严格遵守安全操作规程。</w:t>
      </w:r>
    </w:p>
    <w:p w14:paraId="0CDD33C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运抵现场的设备应是经检验合格、安全的。特种设备必须经工程实施地点政府主管部门检验，并颁发使用许可后，方可投入使用。不得采用国家明令淘汰、禁止使用和危及安全生产的工艺、设备，危险物品的容器、运输工具应取得安全使用证，并应设置安全标志。</w:t>
      </w:r>
    </w:p>
    <w:p w14:paraId="36ED219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3.禁止</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任何私自拆除</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在项目现场的安全防护设备、设施的行为。</w:t>
      </w:r>
    </w:p>
    <w:p w14:paraId="2347433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4.如</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设备在施工过程中出现故障，须立即停止使用。须经有资质的专业人员修复后，经检验确实保证安全后，方可重新投入使用。如出现故障的系特种设备，则必须经过相应的机构重新检验后方可重新投入使用。绝对禁止在施工过程中使用存在安全隐患的设备。</w:t>
      </w:r>
    </w:p>
    <w:p w14:paraId="0FC3018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5.使用起重、吊运、焊接、切割等设备施工时，必须严格遵守各种工程机械的安全操作规程，禁止违章指挥和违章作业。</w:t>
      </w:r>
    </w:p>
    <w:p w14:paraId="41DFDEF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6.补充规定：</w:t>
      </w:r>
      <w:permStart w:id="39"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 xml:space="preserve">  </w:t>
      </w:r>
      <w:permEnd w:id="39"/>
    </w:p>
    <w:p w14:paraId="2889F3FE">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第七条 应急事件处置</w:t>
      </w:r>
    </w:p>
    <w:p w14:paraId="1F13ED0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在项目现场作业期间如发生生产安全事故，</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应立即报告</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，并按照国家有关规定进行处理，不得迟报、瞒报、谎报。</w:t>
      </w:r>
    </w:p>
    <w:p w14:paraId="71F47CF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在施工过程中出现伤亡事故时，须及时开展抢救工作，并承担因抢救及善后产生的一切费用。如因</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原因造成</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人员及其他人员伤害，也要承担因抢救及善后产生的一切费用。若</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未及时支付事故抢救及善后费用，</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有权先行垫付，垫付金额从</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应付</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款项直接扣除，不足部分</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仍需补足。</w:t>
      </w:r>
    </w:p>
    <w:p w14:paraId="5F7F20A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在施工过程中发生伤亡事故时，须立即停工进行整顿，并向</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提交事故及改善报告，在经过</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认定后方可重新施工。</w:t>
      </w:r>
    </w:p>
    <w:p w14:paraId="0A0A557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在施工作业过程中发生安全事故、火灾事故、交通事故、治安案件、环境事件后，应按法律法规要求进行报告、调查、处理，保护好现场，采取措施减少损失扩大，并及时通知</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w:t>
      </w:r>
    </w:p>
    <w:p w14:paraId="2A6B652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5.补充规定：</w:t>
      </w:r>
      <w:permStart w:id="40"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 xml:space="preserve">  </w:t>
      </w:r>
      <w:permEnd w:id="40"/>
    </w:p>
    <w:p w14:paraId="6BB7D9BD">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第八条 特种作业管理</w:t>
      </w:r>
    </w:p>
    <w:p w14:paraId="02654A1B">
      <w:pPr>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作业类别：</w:t>
      </w:r>
      <w:r>
        <w:rPr>
          <w:rFonts w:hint="eastAsia" w:ascii="仿宋_GB2312" w:hAnsi="仿宋_GB2312" w:cs="仿宋_GB2312"/>
          <w:sz w:val="28"/>
          <w:szCs w:val="28"/>
          <w:u w:val="single"/>
          <w:lang w:eastAsia="zh-CN"/>
        </w:rPr>
        <w:t>☑</w:t>
      </w:r>
      <w:r>
        <w:rPr>
          <w:rFonts w:ascii="仿宋_GB2312" w:hAnsi="仿宋_GB2312" w:eastAsia="仿宋_GB2312" w:cs="仿宋_GB2312"/>
          <w:sz w:val="28"/>
          <w:szCs w:val="28"/>
          <w:u w:val="single"/>
        </w:rPr>
        <w:t xml:space="preserve">动火作业 </w:t>
      </w:r>
      <w:r>
        <w:rPr>
          <w:rFonts w:hint="eastAsia" w:ascii="仿宋_GB2312" w:hAnsi="仿宋_GB2312" w:cs="仿宋_GB2312"/>
          <w:sz w:val="28"/>
          <w:szCs w:val="28"/>
          <w:u w:val="single"/>
          <w:lang w:eastAsia="zh-CN"/>
        </w:rPr>
        <w:t>☑</w:t>
      </w:r>
      <w:r>
        <w:rPr>
          <w:rFonts w:ascii="仿宋_GB2312" w:hAnsi="仿宋_GB2312" w:eastAsia="仿宋_GB2312" w:cs="仿宋_GB2312"/>
          <w:sz w:val="28"/>
          <w:szCs w:val="28"/>
          <w:u w:val="single"/>
        </w:rPr>
        <w:t xml:space="preserve">高处作业 </w:t>
      </w:r>
      <w:r>
        <w:rPr>
          <w:rFonts w:hint="eastAsia" w:ascii="仿宋_GB2312" w:hAnsi="仿宋_GB2312" w:cs="仿宋_GB2312"/>
          <w:sz w:val="28"/>
          <w:szCs w:val="28"/>
          <w:u w:val="single"/>
          <w:lang w:eastAsia="zh-CN"/>
        </w:rPr>
        <w:t>☑</w:t>
      </w:r>
      <w:r>
        <w:rPr>
          <w:rFonts w:ascii="仿宋_GB2312" w:hAnsi="仿宋_GB2312" w:eastAsia="仿宋_GB2312" w:cs="仿宋_GB2312"/>
          <w:sz w:val="28"/>
          <w:szCs w:val="28"/>
          <w:u w:val="single"/>
        </w:rPr>
        <w:t xml:space="preserve">有限空间作业 </w:t>
      </w:r>
      <w:r>
        <w:rPr>
          <w:rFonts w:hint="eastAsia" w:ascii="仿宋_GB2312" w:hAnsi="仿宋_GB2312" w:cs="仿宋_GB2312"/>
          <w:sz w:val="28"/>
          <w:szCs w:val="28"/>
          <w:u w:val="single"/>
          <w:lang w:eastAsia="zh-CN"/>
        </w:rPr>
        <w:t>☑</w:t>
      </w:r>
      <w:r>
        <w:rPr>
          <w:rFonts w:ascii="仿宋_GB2312" w:hAnsi="仿宋_GB2312" w:eastAsia="仿宋_GB2312" w:cs="仿宋_GB2312"/>
          <w:sz w:val="28"/>
          <w:szCs w:val="28"/>
          <w:u w:val="single"/>
        </w:rPr>
        <w:t>动土作业</w:t>
      </w:r>
      <w:r>
        <w:rPr>
          <w:rFonts w:hint="eastAsia" w:ascii="仿宋_GB2312" w:hAnsi="仿宋_GB2312" w:eastAsia="仿宋_GB2312" w:cs="仿宋_GB2312"/>
          <w:sz w:val="28"/>
          <w:szCs w:val="28"/>
          <w:u w:val="single"/>
        </w:rPr>
        <w:t xml:space="preserve"> </w:t>
      </w:r>
      <w:r>
        <w:rPr>
          <w:rFonts w:hint="eastAsia" w:ascii="仿宋_GB2312" w:hAnsi="仿宋_GB2312" w:cs="仿宋_GB2312"/>
          <w:sz w:val="28"/>
          <w:szCs w:val="28"/>
          <w:u w:val="single"/>
          <w:lang w:eastAsia="zh-CN"/>
        </w:rPr>
        <w:t>☑</w:t>
      </w:r>
      <w:r>
        <w:rPr>
          <w:rFonts w:ascii="仿宋_GB2312" w:hAnsi="仿宋_GB2312" w:eastAsia="仿宋_GB2312" w:cs="仿宋_GB2312"/>
          <w:sz w:val="28"/>
          <w:szCs w:val="28"/>
          <w:u w:val="single"/>
        </w:rPr>
        <w:t xml:space="preserve">临时用电作业 </w:t>
      </w:r>
      <w:r>
        <w:rPr>
          <w:rFonts w:hint="eastAsia" w:ascii="仿宋_GB2312" w:hAnsi="仿宋_GB2312" w:cs="仿宋_GB2312"/>
          <w:sz w:val="28"/>
          <w:szCs w:val="28"/>
          <w:u w:val="single"/>
          <w:lang w:eastAsia="zh-CN"/>
        </w:rPr>
        <w:t>☑</w:t>
      </w:r>
      <w:r>
        <w:rPr>
          <w:rFonts w:ascii="仿宋_GB2312" w:hAnsi="仿宋_GB2312" w:eastAsia="仿宋_GB2312" w:cs="仿宋_GB2312"/>
          <w:sz w:val="28"/>
          <w:szCs w:val="28"/>
          <w:u w:val="single"/>
        </w:rPr>
        <w:t xml:space="preserve">吊装作业 </w:t>
      </w:r>
      <w:r>
        <w:rPr>
          <w:rFonts w:hint="eastAsia" w:ascii="仿宋_GB2312" w:hAnsi="仿宋_GB2312" w:cs="仿宋_GB2312"/>
          <w:sz w:val="28"/>
          <w:szCs w:val="28"/>
          <w:u w:val="single"/>
          <w:lang w:eastAsia="zh-CN"/>
        </w:rPr>
        <w:t>☑</w:t>
      </w:r>
      <w:r>
        <w:rPr>
          <w:rFonts w:ascii="仿宋_GB2312" w:hAnsi="仿宋_GB2312" w:eastAsia="仿宋_GB2312" w:cs="仿宋_GB2312"/>
          <w:sz w:val="28"/>
          <w:szCs w:val="28"/>
          <w:u w:val="single"/>
        </w:rPr>
        <w:t xml:space="preserve">盲板抽堵 </w:t>
      </w:r>
      <w:r>
        <w:rPr>
          <w:rFonts w:hint="eastAsia" w:ascii="仿宋_GB2312" w:hAnsi="仿宋_GB2312" w:cs="仿宋_GB2312"/>
          <w:sz w:val="28"/>
          <w:szCs w:val="28"/>
          <w:u w:val="single"/>
          <w:lang w:eastAsia="zh-CN"/>
        </w:rPr>
        <w:t>☑</w:t>
      </w:r>
      <w:r>
        <w:rPr>
          <w:rFonts w:ascii="仿宋_GB2312" w:hAnsi="仿宋_GB2312" w:eastAsia="仿宋_GB2312" w:cs="仿宋_GB2312"/>
          <w:sz w:val="28"/>
          <w:szCs w:val="28"/>
          <w:u w:val="single"/>
        </w:rPr>
        <w:t xml:space="preserve">断路作业 </w:t>
      </w:r>
      <w:permStart w:id="41" w:edGrp="everyone"/>
      <w:r>
        <w:rPr>
          <w:rFonts w:hint="eastAsia" w:ascii="仿宋_GB2312" w:hAnsi="仿宋_GB2312" w:cs="仿宋_GB2312"/>
          <w:sz w:val="28"/>
          <w:szCs w:val="28"/>
          <w:u w:val="single"/>
          <w:lang w:eastAsia="zh-CN"/>
        </w:rPr>
        <w:t>☑</w:t>
      </w:r>
      <w:r>
        <w:rPr>
          <w:rFonts w:hint="eastAsia" w:ascii="仿宋_GB2312" w:hAnsi="仿宋_GB2312" w:eastAsia="仿宋_GB2312" w:cs="仿宋_GB2312"/>
          <w:sz w:val="28"/>
          <w:szCs w:val="28"/>
          <w:u w:val="single"/>
        </w:rPr>
        <w:t xml:space="preserve"> </w:t>
      </w:r>
      <w:r>
        <w:rPr>
          <w:rFonts w:hint="eastAsia" w:ascii="仿宋_GB2312" w:hAnsi="仿宋_GB2312" w:cs="仿宋_GB2312"/>
          <w:sz w:val="28"/>
          <w:szCs w:val="28"/>
          <w:u w:val="single"/>
          <w:lang w:val="en-US" w:eastAsia="zh-CN"/>
        </w:rPr>
        <w:t>等</w:t>
      </w:r>
      <w:r>
        <w:rPr>
          <w:rFonts w:hint="eastAsia" w:ascii="仿宋_GB2312" w:hAnsi="仿宋_GB2312" w:eastAsia="仿宋_GB2312" w:cs="仿宋_GB2312"/>
          <w:sz w:val="28"/>
          <w:szCs w:val="28"/>
          <w:u w:val="single"/>
        </w:rPr>
        <w:t xml:space="preserve"> </w:t>
      </w:r>
      <w:permEnd w:id="41"/>
    </w:p>
    <w:p w14:paraId="436A8B0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1.特种作业人员必须按照国家有关规定，经专门的安全作业培训并考核合格，取得相应特种作业操作证后，方可上岗作业。严禁无证操作或操作证过期失效。</w:t>
      </w:r>
    </w:p>
    <w:p w14:paraId="5CCC2BE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2.严格执行危险作业审批许可制度。作业前应按有关规定办理《作业票》，经逐级审批，确认各项安全措施已全面落实后，方可作业。未经审批许可，严禁作业。</w:t>
      </w:r>
    </w:p>
    <w:p w14:paraId="3FF9D9A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3.作业前必须进行危险有害因素辨识，制定并落实可靠的安全措施。包括但不限于（注：请结合具体作业类型补充完善）：</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（1）技术措施：如隔离、置换、通风、检测、监护等。</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（2）组织措施：明确现场负责人、监护人员、作业人员及其安全职责。</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（3）应急措施：配备必要的应急救援器材和设备，保持应急通道畅通。</w:t>
      </w:r>
    </w:p>
    <w:p w14:paraId="7316906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特种作业必须设专人进行全过程监护。监护人员必须经过培训持证上岗，具备相关安全知识和应急处置能力，不得擅自离开监护岗位。项目安全管理人员应对特种作业现场进行巡视检查，监督安全措施的执行情况，及时制止和纠正违章行为。</w:t>
      </w:r>
    </w:p>
    <w:p w14:paraId="5BEEC3C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5.作业前，必须对全体作业人员进行专项安全教育和安全技术交底，使其明确作业危险点、安全措施和应急办法。交底完成后，所有人员必须签字确认。</w:t>
      </w:r>
    </w:p>
    <w:p w14:paraId="4C078A7B">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6.补充规定：</w:t>
      </w:r>
      <w:permStart w:id="42"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w:t>
      </w:r>
    </w:p>
    <w:permEnd w:id="42"/>
    <w:p w14:paraId="290723A4">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第九条 现场的卫生和清洁</w:t>
      </w:r>
    </w:p>
    <w:p w14:paraId="1A9D7A6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1.由</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施工产生的废弃物以及危险废弃物，由</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负责清运及合规处理。对施工现场应随时进行整理、整顿、清洁、清扫，不在通道、升降口、灭火设备、救急设备等区域放置物品。</w:t>
      </w:r>
    </w:p>
    <w:p w14:paraId="52D6B17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应负责本单位施工区、办公区、生活区的日常卫生，保持整洁。</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产生的建筑垃圾、生活垃圾、餐厨垃圾等，由</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负责清运出场并合法合规处理。</w:t>
      </w:r>
    </w:p>
    <w:p w14:paraId="54F6D42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3.严禁在工地内乱扔乱放生活垃圾及施工废料。</w:t>
      </w:r>
    </w:p>
    <w:p w14:paraId="649A1DA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4.所有施工中产生的废料、废纸和其它各种可燃性材料等应当在每天工作结束时运出项目现场。</w:t>
      </w:r>
    </w:p>
    <w:p w14:paraId="6C85C64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5.补充规定：</w:t>
      </w:r>
      <w:permStart w:id="43"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 xml:space="preserve">  </w:t>
      </w:r>
      <w:permEnd w:id="43"/>
    </w:p>
    <w:p w14:paraId="4F549A38">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第十条 </w:t>
      </w:r>
      <w:r>
        <w:rPr>
          <w:rFonts w:hint="eastAsia" w:ascii="仿宋_GB2312" w:hAnsi="仿宋_GB2312" w:cs="仿宋_GB2312"/>
          <w:b/>
          <w:bCs/>
          <w:sz w:val="28"/>
          <w:szCs w:val="28"/>
          <w:lang w:eastAsia="zh-CN"/>
        </w:rPr>
        <w:t>乙方</w:t>
      </w:r>
      <w:r>
        <w:rPr>
          <w:rFonts w:hint="eastAsia" w:ascii="仿宋_GB2312" w:hAnsi="仿宋_GB2312" w:eastAsia="仿宋_GB2312" w:cs="仿宋_GB2312"/>
          <w:b/>
          <w:bCs/>
          <w:sz w:val="28"/>
          <w:szCs w:val="28"/>
        </w:rPr>
        <w:t>的车辆管理</w:t>
      </w:r>
    </w:p>
    <w:p w14:paraId="16DE337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施工车辆应按</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指定大门出入施工现场，定点停靠，限速行驶，施工现场主干道行驶速度限制根据施工现场确定。</w:t>
      </w:r>
    </w:p>
    <w:p w14:paraId="1A81C95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2.非工程车辆原则上禁止进入施工现场，特殊情况进入现场必须经</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有关管理部门批准。</w:t>
      </w:r>
    </w:p>
    <w:p w14:paraId="2B8C9AA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运输货物的车辆的装载物除本工程所需货物、材料外，还有其他托运人的货物，则该类车辆将禁止进入施工现场。货物须在卸载后，方可运入现场。</w:t>
      </w:r>
    </w:p>
    <w:p w14:paraId="083BDD5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物资出场应事先办理出场手续，经</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现场施工负责人签字后方可出场。</w:t>
      </w:r>
    </w:p>
    <w:p w14:paraId="4A5EEA9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5.补充规定：</w:t>
      </w:r>
      <w:permStart w:id="44"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 xml:space="preserve">   </w:t>
      </w:r>
      <w:permEnd w:id="44"/>
    </w:p>
    <w:p w14:paraId="0A0A9D5D">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第十一条 违约责任</w:t>
      </w:r>
    </w:p>
    <w:p w14:paraId="3EC93F4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作为承包单位，对其承揽工作范围内的安全生产承担主体责任。若</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在所承揽的工作范围内发生安全责任事故，或存在违反国家、行业及地方政府颁布的有关安全生产的法律、法规、规章、标准及</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安全管理制度的行为，</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应作为第一责任方承担全部法律责任及相应的经济损失赔偿责任。</w:t>
      </w:r>
    </w:p>
    <w:p w14:paraId="6195D2D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2.违约情形</w:t>
      </w:r>
    </w:p>
    <w:p w14:paraId="2B2E51B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发生一般及以上生产安全事故、火灾事故、环境污染事件或职业健康事件；</w:t>
      </w:r>
    </w:p>
    <w:p w14:paraId="51C9F8B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被政府监管部门检查发现存在重大安全事故隐患并被责令停工或处以罚款；</w:t>
      </w:r>
    </w:p>
    <w:p w14:paraId="370BD75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违反本协议中约定的任何安全管理条款或安全生产承诺；</w:t>
      </w:r>
    </w:p>
    <w:p w14:paraId="3E07579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 </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人员违反操作规程或劳动纪律，并导致严重后果或重大风险；</w:t>
      </w:r>
    </w:p>
    <w:p w14:paraId="4C43B98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其他因</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责任造成的违反安全生产法律法规的情形。</w:t>
      </w:r>
    </w:p>
    <w:p w14:paraId="120E73E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3.赔偿范围</w:t>
      </w:r>
    </w:p>
    <w:p w14:paraId="7C0038D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（1）人身伤亡所产生的医疗费、护理费、误工费、伤残赔偿金、死亡赔偿金、丧葬费、被抚养人生活费、精神损害抚慰金等；</w:t>
      </w:r>
    </w:p>
    <w:p w14:paraId="2BEE41C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或第三方财产损失（包括设备、设施、物料、在建工程等直接和间接损失）；</w:t>
      </w:r>
    </w:p>
    <w:p w14:paraId="6E77E25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（3）事故抢险救灾及善后处理所发生的费用；</w:t>
      </w:r>
    </w:p>
    <w:p w14:paraId="0902C7F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（4）政府主管部门对事故单位处以的罚款；</w:t>
      </w:r>
    </w:p>
    <w:p w14:paraId="2E7F40E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（5）因事故导致</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工期延误、名誉损失等其他间接损失。</w:t>
      </w:r>
    </w:p>
    <w:p w14:paraId="147EB4A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4.处罚措施</w:t>
      </w:r>
    </w:p>
    <w:p w14:paraId="2619AE0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发生违约情形时，</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除有权要求</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承担赔偿责任外，还可根据情节严重程度采取以下一项或多项措施：</w:t>
      </w:r>
    </w:p>
    <w:p w14:paraId="2FCDD33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（1）要求</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限期整改，消除隐患；</w:t>
      </w:r>
    </w:p>
    <w:p w14:paraId="7E9A03C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处以警告或通报批评；</w:t>
      </w:r>
    </w:p>
    <w:p w14:paraId="165CF98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（3）根据内部管理规定或合同约定，对</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处以违约金（注：违约金标准各项目公司依据实际施工类型、现场环境、合同约定及安全管理制度要求，在附件一《违约金标准》内补充）；</w:t>
      </w:r>
    </w:p>
    <w:p w14:paraId="577E672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（4）责令</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暂停施工；</w:t>
      </w:r>
    </w:p>
    <w:p w14:paraId="62EF739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（5）暂停支付工程款直至</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全面履行安全责任；</w:t>
      </w:r>
    </w:p>
    <w:p w14:paraId="25AED08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（6）解除与</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签订的承包合同或专业分包合同等。</w:t>
      </w:r>
    </w:p>
    <w:p w14:paraId="4EEE48C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（7）补充规定：</w:t>
      </w:r>
      <w:permStart w:id="45"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 xml:space="preserve">  </w:t>
      </w:r>
      <w:permEnd w:id="45"/>
    </w:p>
    <w:p w14:paraId="691BD051">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第十二条 其他</w:t>
      </w:r>
    </w:p>
    <w:p w14:paraId="05728BC9">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1.本合同经双方法定代表人或授权代表签字并加盖双方公章确认后生效，任何关于本合同主要条款的变更履行必须经由双方法定代表人或授权代表签字并加盖公章确认，否则不发生合同变更效力。</w:t>
      </w:r>
    </w:p>
    <w:p w14:paraId="5F8B6C50">
      <w:pPr>
        <w:ind w:firstLine="560" w:firstLineChars="200"/>
        <w:jc w:val="left"/>
        <w:rPr>
          <w:rFonts w:hint="eastAsia" w:ascii="仿宋" w:hAnsi="仿宋" w:eastAsia="仿宋" w:cs="仿宋_GB2312"/>
          <w:snapToGrid w:val="0"/>
          <w:kern w:val="0"/>
          <w:sz w:val="28"/>
          <w:szCs w:val="28"/>
        </w:rPr>
      </w:pPr>
      <w:r>
        <w:rPr>
          <w:rFonts w:hint="eastAsia" w:ascii="仿宋_GB2312" w:hAnsi="仿宋_GB2312" w:eastAsia="仿宋_GB2312" w:cs="仿宋_GB2312"/>
          <w:sz w:val="28"/>
          <w:szCs w:val="28"/>
        </w:rPr>
        <w:t>2.本合同一式</w:t>
      </w:r>
      <w:permStart w:id="46"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5</w:t>
      </w:r>
      <w:r>
        <w:rPr>
          <w:rFonts w:hint="eastAsia" w:ascii="仿宋_GB2312" w:hAnsi="仿宋_GB2312" w:eastAsia="仿宋_GB2312" w:cs="仿宋_GB2312"/>
          <w:sz w:val="28"/>
          <w:szCs w:val="28"/>
        </w:rPr>
        <w:t xml:space="preserve"> </w:t>
      </w:r>
      <w:permEnd w:id="46"/>
      <w:r>
        <w:rPr>
          <w:rFonts w:hint="eastAsia" w:ascii="仿宋_GB2312" w:hAnsi="仿宋_GB2312" w:eastAsia="仿宋_GB2312" w:cs="仿宋_GB2312"/>
          <w:sz w:val="28"/>
          <w:szCs w:val="28"/>
        </w:rPr>
        <w:t>份，</w:t>
      </w:r>
      <w:r>
        <w:rPr>
          <w:rFonts w:hint="eastAsia" w:ascii="仿宋_GB2312" w:hAnsi="仿宋_GB2312" w:cs="仿宋_GB2312"/>
          <w:sz w:val="28"/>
          <w:szCs w:val="28"/>
          <w:lang w:eastAsia="zh-CN"/>
        </w:rPr>
        <w:t>甲方</w:t>
      </w:r>
      <w:r>
        <w:rPr>
          <w:rFonts w:hint="eastAsia" w:ascii="仿宋_GB2312" w:hAnsi="仿宋_GB2312" w:eastAsia="仿宋_GB2312" w:cs="仿宋_GB2312"/>
          <w:sz w:val="28"/>
          <w:szCs w:val="28"/>
        </w:rPr>
        <w:t>执</w:t>
      </w:r>
      <w:permStart w:id="47"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rPr>
        <w:t xml:space="preserve"> </w:t>
      </w:r>
      <w:permEnd w:id="47"/>
      <w:r>
        <w:rPr>
          <w:rFonts w:hint="eastAsia" w:ascii="仿宋_GB2312" w:hAnsi="仿宋_GB2312" w:eastAsia="仿宋_GB2312" w:cs="仿宋_GB2312"/>
          <w:sz w:val="28"/>
          <w:szCs w:val="28"/>
        </w:rPr>
        <w:t>份，</w:t>
      </w:r>
      <w:r>
        <w:rPr>
          <w:rFonts w:hint="eastAsia" w:ascii="仿宋_GB2312" w:hAnsi="仿宋_GB2312" w:cs="仿宋_GB2312"/>
          <w:sz w:val="28"/>
          <w:szCs w:val="28"/>
          <w:lang w:eastAsia="zh-CN"/>
        </w:rPr>
        <w:t>乙方</w:t>
      </w:r>
      <w:r>
        <w:rPr>
          <w:rFonts w:hint="eastAsia" w:ascii="仿宋_GB2312" w:hAnsi="仿宋_GB2312" w:eastAsia="仿宋_GB2312" w:cs="仿宋_GB2312"/>
          <w:sz w:val="28"/>
          <w:szCs w:val="28"/>
        </w:rPr>
        <w:t>执</w:t>
      </w:r>
      <w:permStart w:id="48" w:edGrp="everyone"/>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 xml:space="preserve"> </w:t>
      </w:r>
      <w:permEnd w:id="48"/>
      <w:r>
        <w:rPr>
          <w:rFonts w:hint="eastAsia" w:ascii="仿宋_GB2312" w:hAnsi="仿宋_GB2312" w:eastAsia="仿宋_GB2312" w:cs="仿宋_GB2312"/>
          <w:sz w:val="28"/>
          <w:szCs w:val="28"/>
        </w:rPr>
        <w:t>份，本合同附件为本合同组成部分，与本合同具有同等法律效力。</w:t>
      </w:r>
    </w:p>
    <w:p w14:paraId="13E0B4A7">
      <w:pPr>
        <w:tabs>
          <w:tab w:val="left" w:pos="1060"/>
          <w:tab w:val="left" w:pos="2310"/>
          <w:tab w:val="left" w:pos="3675"/>
          <w:tab w:val="left" w:pos="5685"/>
          <w:tab w:val="left" w:pos="6405"/>
          <w:tab w:val="left" w:pos="7140"/>
        </w:tabs>
        <w:autoSpaceDE w:val="0"/>
        <w:autoSpaceDN w:val="0"/>
        <w:adjustRightInd w:val="0"/>
        <w:snapToGrid w:val="0"/>
        <w:spacing w:line="560" w:lineRule="exact"/>
        <w:ind w:right="-20"/>
        <w:rPr>
          <w:rFonts w:hint="eastAsia" w:ascii="仿宋" w:hAnsi="仿宋" w:eastAsia="仿宋" w:cs="仿宋_GB2312"/>
          <w:snapToGrid w:val="0"/>
          <w:kern w:val="0"/>
          <w:sz w:val="28"/>
          <w:szCs w:val="28"/>
        </w:rPr>
      </w:pPr>
    </w:p>
    <w:p w14:paraId="765A4F59">
      <w:pPr>
        <w:spacing w:line="360" w:lineRule="auto"/>
        <w:rPr>
          <w:rFonts w:hint="eastAsia" w:ascii="仿宋" w:hAnsi="仿宋" w:eastAsia="仿宋" w:cs="仿宋_GB2312"/>
          <w:sz w:val="28"/>
          <w:szCs w:val="28"/>
        </w:rPr>
      </w:pPr>
      <w:r>
        <w:rPr>
          <w:rFonts w:hint="eastAsia" w:ascii="仿宋" w:hAnsi="仿宋" w:eastAsia="仿宋" w:cs="仿宋_GB2312"/>
          <w:sz w:val="28"/>
          <w:szCs w:val="28"/>
          <w:lang w:eastAsia="zh-CN"/>
        </w:rPr>
        <w:t>甲方</w:t>
      </w:r>
      <w:r>
        <w:rPr>
          <w:rFonts w:hint="eastAsia" w:ascii="仿宋" w:hAnsi="仿宋" w:eastAsia="仿宋" w:cs="仿宋_GB2312"/>
          <w:sz w:val="28"/>
          <w:szCs w:val="28"/>
        </w:rPr>
        <w:t>（盖章）：</w:t>
      </w:r>
      <w:permStart w:id="49" w:edGrp="everyone"/>
      <w:r>
        <w:rPr>
          <w:rFonts w:hint="eastAsia" w:ascii="仿宋" w:hAnsi="仿宋" w:eastAsia="仿宋" w:cs="仿宋_GB2312"/>
          <w:sz w:val="28"/>
          <w:szCs w:val="28"/>
          <w:u w:val="single"/>
        </w:rPr>
        <w:t xml:space="preserve"> 溧阳水务市政工程有限公司</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49"/>
    </w:p>
    <w:p w14:paraId="1A1C5A50">
      <w:pPr>
        <w:spacing w:line="360" w:lineRule="auto"/>
        <w:rPr>
          <w:rFonts w:hint="eastAsia" w:ascii="仿宋" w:hAnsi="仿宋" w:eastAsia="仿宋" w:cs="仿宋_GB2312"/>
          <w:sz w:val="28"/>
          <w:szCs w:val="28"/>
        </w:rPr>
      </w:pPr>
      <w:r>
        <w:rPr>
          <w:rFonts w:hint="eastAsia" w:ascii="仿宋" w:hAnsi="仿宋" w:eastAsia="仿宋" w:cs="仿宋_GB2312"/>
          <w:sz w:val="28"/>
          <w:szCs w:val="28"/>
        </w:rPr>
        <w:t>法人或授权代理人（签字或盖章）：</w:t>
      </w:r>
      <w:permStart w:id="50"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50"/>
    </w:p>
    <w:p w14:paraId="031A9CFF">
      <w:pPr>
        <w:spacing w:line="360" w:lineRule="auto"/>
        <w:rPr>
          <w:rFonts w:hint="eastAsia" w:ascii="仿宋" w:hAnsi="仿宋" w:eastAsia="仿宋" w:cs="仿宋_GB2312"/>
          <w:sz w:val="28"/>
          <w:szCs w:val="28"/>
        </w:rPr>
      </w:pPr>
      <w:r>
        <w:rPr>
          <w:rFonts w:hint="eastAsia" w:ascii="仿宋" w:hAnsi="仿宋" w:eastAsia="仿宋" w:cs="仿宋_GB2312"/>
          <w:sz w:val="28"/>
          <w:szCs w:val="28"/>
        </w:rPr>
        <w:t>单位地址：</w:t>
      </w:r>
      <w:permStart w:id="51" w:edGrp="everyone"/>
      <w:r>
        <w:rPr>
          <w:rFonts w:hint="eastAsia" w:ascii="仿宋" w:hAnsi="仿宋" w:eastAsia="仿宋" w:cs="仿宋_GB2312"/>
          <w:sz w:val="28"/>
          <w:szCs w:val="28"/>
          <w:u w:val="single"/>
        </w:rPr>
        <w:t xml:space="preserve">  溧阳市溧城镇平陵西路31号</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51"/>
    </w:p>
    <w:p w14:paraId="62BAE7EB">
      <w:pPr>
        <w:spacing w:line="360" w:lineRule="auto"/>
        <w:rPr>
          <w:rFonts w:hint="eastAsia" w:ascii="仿宋" w:hAnsi="仿宋" w:eastAsia="仿宋" w:cs="仿宋_GB2312"/>
          <w:sz w:val="28"/>
          <w:szCs w:val="28"/>
        </w:rPr>
      </w:pPr>
      <w:r>
        <w:rPr>
          <w:rFonts w:hint="eastAsia" w:ascii="仿宋" w:hAnsi="仿宋" w:eastAsia="仿宋" w:cs="仿宋_GB2312"/>
          <w:sz w:val="28"/>
          <w:szCs w:val="28"/>
        </w:rPr>
        <w:t>联系电话：</w:t>
      </w:r>
      <w:permStart w:id="52" w:edGrp="everyone"/>
      <w:r>
        <w:rPr>
          <w:rFonts w:ascii="仿宋" w:hAnsi="仿宋" w:eastAsia="仿宋" w:cs="仿宋_GB2312"/>
          <w:sz w:val="28"/>
          <w:szCs w:val="28"/>
          <w:u w:val="single"/>
        </w:rPr>
        <w:t xml:space="preserve">   </w:t>
      </w:r>
      <w:r>
        <w:rPr>
          <w:rFonts w:hint="eastAsia" w:ascii="仿宋" w:hAnsi="仿宋" w:eastAsia="仿宋" w:cs="仿宋_GB2312"/>
          <w:sz w:val="28"/>
          <w:szCs w:val="28"/>
          <w:u w:val="single"/>
        </w:rPr>
        <w:t>0519-87597128</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52"/>
    </w:p>
    <w:p w14:paraId="0480334E">
      <w:pPr>
        <w:spacing w:line="360" w:lineRule="auto"/>
        <w:rPr>
          <w:rFonts w:hint="eastAsia" w:ascii="仿宋" w:hAnsi="仿宋" w:eastAsia="仿宋" w:cs="仿宋_GB2312"/>
          <w:sz w:val="28"/>
          <w:szCs w:val="28"/>
        </w:rPr>
      </w:pPr>
      <w:r>
        <w:rPr>
          <w:rFonts w:hint="eastAsia" w:ascii="仿宋" w:hAnsi="仿宋" w:eastAsia="仿宋" w:cs="仿宋_GB2312"/>
          <w:sz w:val="28"/>
          <w:szCs w:val="28"/>
        </w:rPr>
        <w:t>开户银行：</w:t>
      </w:r>
      <w:permStart w:id="53"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交通银行常州溧阳支行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53"/>
    </w:p>
    <w:p w14:paraId="04BC1D7F">
      <w:pPr>
        <w:spacing w:line="360" w:lineRule="auto"/>
        <w:rPr>
          <w:rFonts w:hint="eastAsia" w:ascii="仿宋" w:hAnsi="仿宋" w:eastAsia="仿宋" w:cs="仿宋_GB2312"/>
          <w:sz w:val="28"/>
          <w:szCs w:val="28"/>
        </w:rPr>
      </w:pPr>
      <w:r>
        <w:rPr>
          <w:rFonts w:hint="eastAsia" w:ascii="仿宋" w:hAnsi="仿宋" w:eastAsia="仿宋" w:cs="仿宋_GB2312"/>
          <w:sz w:val="28"/>
          <w:szCs w:val="28"/>
        </w:rPr>
        <w:t>银行帐号：</w:t>
      </w:r>
      <w:permStart w:id="54"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324006100018150386330</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54"/>
    </w:p>
    <w:p w14:paraId="0F13B462">
      <w:pPr>
        <w:spacing w:line="360" w:lineRule="auto"/>
        <w:rPr>
          <w:rFonts w:hint="eastAsia" w:ascii="仿宋" w:hAnsi="仿宋" w:eastAsia="仿宋" w:cs="仿宋_GB2312"/>
          <w:sz w:val="28"/>
          <w:szCs w:val="28"/>
        </w:rPr>
      </w:pPr>
    </w:p>
    <w:p w14:paraId="7137C7F1">
      <w:pPr>
        <w:spacing w:line="360" w:lineRule="auto"/>
        <w:rPr>
          <w:rFonts w:hint="eastAsia" w:ascii="仿宋" w:hAnsi="仿宋" w:eastAsia="仿宋" w:cs="仿宋_GB2312"/>
          <w:sz w:val="28"/>
          <w:szCs w:val="28"/>
        </w:rPr>
      </w:pPr>
      <w:r>
        <w:rPr>
          <w:rFonts w:hint="eastAsia" w:ascii="仿宋" w:hAnsi="仿宋" w:eastAsia="仿宋" w:cs="仿宋_GB2312"/>
          <w:sz w:val="28"/>
          <w:szCs w:val="28"/>
          <w:lang w:eastAsia="zh-CN"/>
        </w:rPr>
        <w:t>乙方</w:t>
      </w:r>
      <w:r>
        <w:rPr>
          <w:rFonts w:hint="eastAsia" w:ascii="仿宋" w:hAnsi="仿宋" w:eastAsia="仿宋" w:cs="仿宋_GB2312"/>
          <w:sz w:val="28"/>
          <w:szCs w:val="28"/>
        </w:rPr>
        <w:t>（盖章）：</w:t>
      </w:r>
      <w:permStart w:id="55"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安徽春和诚建设工程有限公司</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55"/>
    </w:p>
    <w:p w14:paraId="2C8912A5">
      <w:pPr>
        <w:spacing w:line="360" w:lineRule="auto"/>
        <w:rPr>
          <w:rFonts w:hint="eastAsia" w:ascii="仿宋" w:hAnsi="仿宋" w:eastAsia="仿宋" w:cs="仿宋_GB2312"/>
          <w:sz w:val="28"/>
          <w:szCs w:val="28"/>
        </w:rPr>
      </w:pPr>
      <w:r>
        <w:rPr>
          <w:rFonts w:hint="eastAsia" w:ascii="仿宋" w:hAnsi="仿宋" w:eastAsia="仿宋" w:cs="仿宋_GB2312"/>
          <w:sz w:val="28"/>
          <w:szCs w:val="28"/>
        </w:rPr>
        <w:t>法人或授权代理人（签字或盖章）：</w:t>
      </w:r>
      <w:permStart w:id="56"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56"/>
    </w:p>
    <w:p w14:paraId="01B9DB26">
      <w:pPr>
        <w:spacing w:line="360" w:lineRule="auto"/>
        <w:rPr>
          <w:rFonts w:hint="eastAsia" w:ascii="仿宋" w:hAnsi="仿宋" w:eastAsia="仿宋" w:cs="仿宋_GB2312"/>
          <w:sz w:val="28"/>
          <w:szCs w:val="28"/>
        </w:rPr>
      </w:pPr>
      <w:r>
        <w:rPr>
          <w:rFonts w:hint="eastAsia" w:ascii="仿宋" w:hAnsi="仿宋" w:eastAsia="仿宋" w:cs="仿宋_GB2312"/>
          <w:sz w:val="28"/>
          <w:szCs w:val="28"/>
        </w:rPr>
        <w:t>单位地址：</w:t>
      </w:r>
      <w:permStart w:id="57"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金寨县现代产业园区莲花山路乐汇城A栋10楼</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57"/>
    </w:p>
    <w:p w14:paraId="1286ACFE">
      <w:pPr>
        <w:spacing w:line="360" w:lineRule="auto"/>
        <w:rPr>
          <w:rFonts w:hint="eastAsia" w:ascii="仿宋" w:hAnsi="仿宋" w:eastAsia="仿宋" w:cs="仿宋_GB2312"/>
          <w:sz w:val="28"/>
          <w:szCs w:val="28"/>
        </w:rPr>
      </w:pPr>
      <w:r>
        <w:rPr>
          <w:rFonts w:hint="eastAsia" w:ascii="仿宋" w:hAnsi="仿宋" w:eastAsia="仿宋" w:cs="仿宋_GB2312"/>
          <w:sz w:val="28"/>
          <w:szCs w:val="28"/>
        </w:rPr>
        <w:t>联系电话：</w:t>
      </w:r>
      <w:permStart w:id="58"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15212414530</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58"/>
    </w:p>
    <w:p w14:paraId="27B871C6">
      <w:pPr>
        <w:spacing w:line="360" w:lineRule="auto"/>
        <w:rPr>
          <w:rFonts w:hint="eastAsia" w:ascii="仿宋" w:hAnsi="仿宋" w:eastAsia="仿宋" w:cs="仿宋_GB2312"/>
          <w:sz w:val="28"/>
          <w:szCs w:val="28"/>
        </w:rPr>
      </w:pPr>
      <w:r>
        <w:rPr>
          <w:rFonts w:hint="eastAsia" w:ascii="仿宋" w:hAnsi="仿宋" w:eastAsia="仿宋" w:cs="仿宋_GB2312"/>
          <w:sz w:val="28"/>
          <w:szCs w:val="28"/>
        </w:rPr>
        <w:t>开户银行：</w:t>
      </w:r>
      <w:permStart w:id="59" w:edGrp="everyone"/>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徽商银行股份有限公司六安金寨支行</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permEnd w:id="59"/>
    </w:p>
    <w:p w14:paraId="6170ADA5">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cs="Times New Roman"/>
          <w:kern w:val="0"/>
          <w:sz w:val="24"/>
          <w:szCs w:val="24"/>
        </w:rPr>
      </w:pPr>
      <w:r>
        <w:rPr>
          <w:rFonts w:hint="eastAsia" w:ascii="仿宋" w:hAnsi="仿宋" w:eastAsia="仿宋" w:cs="仿宋_GB2312"/>
          <w:sz w:val="28"/>
          <w:szCs w:val="28"/>
        </w:rPr>
        <w:t>银行帐号：</w:t>
      </w:r>
      <w:permStart w:id="60" w:edGrp="everyone"/>
      <w:r>
        <w:rPr>
          <w:rFonts w:hint="eastAsia" w:ascii="仿宋" w:hAnsi="仿宋" w:eastAsia="仿宋" w:cs="仿宋_GB2312"/>
          <w:sz w:val="28"/>
          <w:szCs w:val="28"/>
        </w:rPr>
        <w:t xml:space="preserve"> </w:t>
      </w:r>
      <w:r>
        <w:rPr>
          <w:rFonts w:hint="eastAsia" w:ascii="仿宋" w:hAnsi="仿宋" w:eastAsia="仿宋" w:cs="仿宋_GB2312"/>
          <w:sz w:val="28"/>
          <w:szCs w:val="28"/>
          <w:u w:val="single"/>
          <w:lang w:val="en-US" w:eastAsia="zh-CN"/>
        </w:rPr>
        <w:t>1761501021000196516</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rPr>
        <w:br w:type="textWrapping"/>
      </w:r>
      <w:permEnd w:id="60"/>
    </w:p>
    <w:p w14:paraId="21DB5E0E">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cs="Times New Roman"/>
          <w:kern w:val="0"/>
          <w:sz w:val="24"/>
          <w:szCs w:val="24"/>
        </w:rPr>
        <w:sectPr>
          <w:pgSz w:w="11906" w:h="16838"/>
          <w:pgMar w:top="1502" w:right="1800" w:bottom="1123" w:left="1701" w:header="851" w:footer="992" w:gutter="0"/>
          <w:cols w:space="720" w:num="1"/>
          <w:docGrid w:type="lines" w:linePitch="312" w:charSpace="0"/>
        </w:sectPr>
      </w:pPr>
    </w:p>
    <w:p w14:paraId="13DCDF35">
      <w:pPr>
        <w:pStyle w:val="5"/>
        <w:ind w:left="0" w:leftChars="0" w:firstLine="0" w:firstLineChars="0"/>
        <w:rPr>
          <w:rFonts w:hint="default"/>
          <w:sz w:val="32"/>
          <w:szCs w:val="32"/>
          <w:highlight w:val="none"/>
          <w:lang w:val="en-US" w:eastAsia="zh-CN"/>
        </w:rPr>
      </w:pPr>
      <w:r>
        <w:rPr>
          <w:rFonts w:hint="eastAsia"/>
          <w:sz w:val="32"/>
          <w:szCs w:val="32"/>
          <w:highlight w:val="none"/>
          <w:lang w:val="en-US" w:eastAsia="zh-CN"/>
        </w:rPr>
        <w:t>附件3</w:t>
      </w:r>
    </w:p>
    <w:tbl>
      <w:tblPr>
        <w:tblStyle w:val="6"/>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5"/>
        <w:gridCol w:w="1316"/>
        <w:gridCol w:w="8868"/>
        <w:gridCol w:w="2731"/>
      </w:tblGrid>
      <w:tr w14:paraId="5706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4760" w:type="dxa"/>
            <w:gridSpan w:val="4"/>
            <w:tcBorders>
              <w:top w:val="single" w:color="000000" w:sz="4" w:space="0"/>
              <w:left w:val="single" w:color="000000" w:sz="4" w:space="0"/>
              <w:bottom w:val="single" w:color="000000" w:sz="4" w:space="0"/>
              <w:right w:val="single" w:color="000000" w:sz="4" w:space="0"/>
            </w:tcBorders>
            <w:noWrap w:val="0"/>
            <w:vAlign w:val="center"/>
          </w:tcPr>
          <w:p w14:paraId="1EF10595">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8"/>
                <w:szCs w:val="28"/>
                <w:u w:val="none"/>
                <w:lang w:val="en-US" w:eastAsia="zh-CN" w:bidi="ar"/>
              </w:rPr>
            </w:pPr>
            <w:r>
              <w:rPr>
                <w:rFonts w:hint="eastAsia" w:ascii="宋体" w:hAnsi="宋体" w:eastAsia="宋体" w:cs="宋体"/>
                <w:b/>
                <w:bCs/>
                <w:i w:val="0"/>
                <w:iCs w:val="0"/>
                <w:snapToGrid w:val="0"/>
                <w:color w:val="000000"/>
                <w:kern w:val="0"/>
                <w:sz w:val="28"/>
                <w:szCs w:val="28"/>
                <w:u w:val="none"/>
                <w:lang w:val="en-US" w:eastAsia="zh-CN" w:bidi="ar"/>
              </w:rPr>
              <w:t>合同履约管理补充约定</w:t>
            </w:r>
          </w:p>
          <w:p w14:paraId="4CE0BE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（本约定中违约金标准及管理要求与合同正文、其他附件标准不一致的，以本补充约定为准）</w:t>
            </w:r>
          </w:p>
        </w:tc>
      </w:tr>
      <w:tr w14:paraId="2DCB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169AD51">
            <w:pPr>
              <w:keepNext w:val="0"/>
              <w:keepLines w:val="0"/>
              <w:widowControl/>
              <w:suppressLineNumbers w:val="0"/>
              <w:ind w:left="0" w:leftChars="0" w:firstLine="0" w:firstLineChars="0"/>
              <w:jc w:val="both"/>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snapToGrid w:val="0"/>
                <w:color w:val="000000"/>
                <w:kern w:val="0"/>
                <w:sz w:val="22"/>
                <w:szCs w:val="22"/>
                <w:u w:val="none"/>
                <w:lang w:val="en-US" w:eastAsia="zh-CN" w:bidi="ar"/>
              </w:rPr>
              <w:t>形式</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67E884C">
            <w:pPr>
              <w:keepNext w:val="0"/>
              <w:keepLines w:val="0"/>
              <w:widowControl/>
              <w:suppressLineNumbers w:val="0"/>
              <w:ind w:left="0" w:leftChars="0" w:firstLine="0" w:firstLineChars="0"/>
              <w:jc w:val="both"/>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snapToGrid w:val="0"/>
                <w:color w:val="000000"/>
                <w:kern w:val="0"/>
                <w:sz w:val="22"/>
                <w:szCs w:val="22"/>
                <w:u w:val="none"/>
                <w:lang w:val="en-US" w:eastAsia="zh-CN" w:bidi="ar"/>
              </w:rPr>
              <w:t>类别</w:t>
            </w: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5C32EE45">
            <w:pPr>
              <w:keepNext w:val="0"/>
              <w:keepLines w:val="0"/>
              <w:widowControl/>
              <w:suppressLineNumbers w:val="0"/>
              <w:ind w:left="0" w:leftChars="0" w:firstLine="0" w:firstLineChars="0"/>
              <w:jc w:val="both"/>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snapToGrid w:val="0"/>
                <w:color w:val="000000"/>
                <w:kern w:val="0"/>
                <w:sz w:val="22"/>
                <w:szCs w:val="22"/>
                <w:u w:val="none"/>
                <w:lang w:val="en-US" w:eastAsia="zh-CN" w:bidi="ar"/>
              </w:rPr>
              <w:t>具体内容</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ACD32C6">
            <w:pPr>
              <w:keepNext w:val="0"/>
              <w:keepLines w:val="0"/>
              <w:widowControl/>
              <w:suppressLineNumbers w:val="0"/>
              <w:ind w:left="0" w:leftChars="0" w:firstLine="0" w:firstLineChars="0"/>
              <w:jc w:val="both"/>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snapToGrid w:val="0"/>
                <w:color w:val="000000"/>
                <w:kern w:val="0"/>
                <w:sz w:val="22"/>
                <w:szCs w:val="22"/>
                <w:u w:val="none"/>
                <w:lang w:val="en-US" w:eastAsia="zh-CN" w:bidi="ar"/>
              </w:rPr>
              <w:t>乙方应支付甲方的违约金额</w:t>
            </w:r>
          </w:p>
        </w:tc>
      </w:tr>
      <w:tr w14:paraId="5784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DD4DF">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履约管理</w:t>
            </w: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3931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组织管理</w:t>
            </w: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13CE586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不遵守甲方制定的规章制度与惯例，包括质量、安全、文明施工、材料控制、后勤保卫等管理规定，工程、材料结算方式、工程量审核、付款预留等方面的有关制度</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2CAB3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0546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06B4C">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C5E8B">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12F109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未按甲方通知要求参会，无故缺席会议</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D3D078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200元/人/次</w:t>
            </w:r>
          </w:p>
        </w:tc>
      </w:tr>
      <w:tr w14:paraId="388A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0FBF4">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D9AF4">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5E30A59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无故拒收、签、回复甲方报送的文件</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5DA7D2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200元/次/项</w:t>
            </w:r>
          </w:p>
        </w:tc>
      </w:tr>
      <w:tr w14:paraId="3839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22C2B">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E828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2A31DA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甲方通知或会议纪要、整改通知单及各会议中明确要求落实的整改事项，未在指定时间内完成或拒不整改的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D7924A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首次通知200元/次/项；同件事情第二次通知 500元/次/项；同件事情第三次通知 1000 元/次/项</w:t>
            </w:r>
          </w:p>
        </w:tc>
      </w:tr>
      <w:tr w14:paraId="73AB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98519">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EAC5E">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531929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不服从甲方协调工作分工，发生外部矛盾时消极怠工、借故推诿，未收到甲方指示擅自停工或撤离人员</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52ECFF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10000元/次</w:t>
            </w:r>
          </w:p>
        </w:tc>
      </w:tr>
      <w:tr w14:paraId="5163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AEBC6">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18A0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1F6DE5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现场管理人员或作业人员不服从总包管理，与总包管理人员发生争执或殴打、威胁总包管理人员的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19A58C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7978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5EB08">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9B65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391CE2D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擅自更换关键岗位人员（项目经理、技术负责人、安全管理人员）</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1DE06D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1000元/天</w:t>
            </w:r>
          </w:p>
        </w:tc>
      </w:tr>
      <w:tr w14:paraId="0F6C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15829">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9B932">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25B6F6B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关键岗位人员（项目经理、技术负责人、安全管理人员）脱岗</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206C05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200元/天</w:t>
            </w:r>
          </w:p>
        </w:tc>
      </w:tr>
      <w:tr w14:paraId="17BA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D1DB0">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975E8">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259997A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发包人认为无法胜任工作的管理人员，未按发包人要求及时更换的。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94FDCE1">
            <w:pPr>
              <w:jc w:val="center"/>
              <w:rPr>
                <w:rFonts w:hint="eastAsia" w:ascii="宋体" w:hAnsi="宋体" w:eastAsia="宋体" w:cs="宋体"/>
                <w:i w:val="0"/>
                <w:iCs w:val="0"/>
                <w:color w:val="000000"/>
                <w:sz w:val="22"/>
                <w:szCs w:val="22"/>
                <w:u w:val="none"/>
              </w:rPr>
            </w:pPr>
          </w:p>
        </w:tc>
      </w:tr>
      <w:tr w14:paraId="40CE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E9BFC">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29190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进度管理</w:t>
            </w: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1C30CF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未按甲方审批后的周进度、月进度计划安排完成各项施工任务，且没有得到甲方认可</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992FE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20D4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FB7EE">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84B46">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10B6B0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乙方施工能力不足以满足甲方工期要求，经催促后仍不整改的，甲方可单方面减少乙方施工范围或工作内容，并另行委托第三方负责实施</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32B03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甲方可按照与第三方根据合同办理结算金额的20%，对乙方处以违约处罚</w:t>
            </w:r>
          </w:p>
        </w:tc>
      </w:tr>
      <w:tr w14:paraId="086B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905E9">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30E9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物资与设备管理</w:t>
            </w: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69D59C9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乙供材及设备进场后，未按要求报送质量证明文件、检测报告、质保书等相关资料</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AC43C6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0033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C7D67">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6409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3BBCCB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未按甲方要求做好甲供材的卸料、保管、保养、维护、堆码、转运等工作</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FB4FCD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1D55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704F3">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01698">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47432B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未按甲方要求时限进行甲供材的材料核销，且无法提供有争议项的支撑材料</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21AE0F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甲方可按照项目材料员统计数据直接进行甲供材损耗扣款，并扣除违约金1000 元/次</w:t>
            </w:r>
          </w:p>
        </w:tc>
      </w:tr>
      <w:tr w14:paraId="30C6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0E5E3">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BE9D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39DC435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未按甲方要求进行甲供材送检材料的制作、取样、搬运及运输，导致试验检测工作无法正常开展</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FB4C6D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4439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0CF04">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540F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农民工工资支付</w:t>
            </w: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1581919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未按时报送或虚报、瞒报、多报人员信息、工资支付表，因乙方原因造成农民工工资无法按期足额发放而引发各项劳资争议或被相关部门处罚</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278D04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除承担因此发生的罚款和损失外，扣除违约金2000元/人/次</w:t>
            </w:r>
          </w:p>
        </w:tc>
      </w:tr>
      <w:tr w14:paraId="2C74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2D13E">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385EC">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5B590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未依法与所招用的农民工签订劳动合同（盖公章）,未按工程所在地政府相关规定为其使用的工人办理相关保险（团体意外险或雇主责任险等）。</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76ECC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1000元/人/次</w:t>
            </w:r>
          </w:p>
        </w:tc>
      </w:tr>
      <w:tr w14:paraId="6AE6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8A719">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AA5EF">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563CC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乙方进场时未向甲方提供劳务工人人员花名册、照片、劳动合同（原件）、身份证复印件</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0540EC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500元/项</w:t>
            </w:r>
          </w:p>
        </w:tc>
      </w:tr>
      <w:tr w14:paraId="7062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9DD4F">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8559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3FB22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乙方未向甲方提供施工现场作业农民工劳动考勤、工资支付管理台账，经农民工本人签字确认的工资支付书面记录</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A9F267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500元/项</w:t>
            </w:r>
          </w:p>
        </w:tc>
      </w:tr>
      <w:tr w14:paraId="525A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DA03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安全管理</w:t>
            </w: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E053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安全管理</w:t>
            </w: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51C0CC7">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未按时参加甲方组织的安全检查</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FA9DE0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6A52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F9F9E">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A3A7F">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0198B4E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未开展针对性的安全技术交底</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A4E74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7973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90A19">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C7F4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6F55B264">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危险性较大的分部分项工程未编制安全专项措施方案、未按规定审核、审批，擅自施工的单位</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CFEA16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2000元/次</w:t>
            </w:r>
          </w:p>
        </w:tc>
      </w:tr>
      <w:tr w14:paraId="025B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FB32D">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F4C5C">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31217E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超过一定规模危险性较大的分部分项工程未编制专项安全施工方案，未经专家论证、审核、审批程序而擅自施工的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D78724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5000元/次</w:t>
            </w:r>
          </w:p>
        </w:tc>
      </w:tr>
      <w:tr w14:paraId="462C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FBB84">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A3B85">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3166AC6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对地上地下管线未采取保护措施的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85568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除承担相应责任和损失外，扣除违约金 500元/次</w:t>
            </w:r>
          </w:p>
        </w:tc>
      </w:tr>
      <w:tr w14:paraId="47CB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1A0A2">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3AC46">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6AF4F3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班组未开展班前喊话、教育交底等班前安全活动或活动记录不真实</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E80420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100元/次</w:t>
            </w:r>
          </w:p>
        </w:tc>
      </w:tr>
      <w:tr w14:paraId="2A3E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CE237">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F0C02">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70AB401B">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新进场工人未进行入场班组级安全教育</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B76832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200元/人</w:t>
            </w:r>
          </w:p>
        </w:tc>
      </w:tr>
      <w:tr w14:paraId="0DFE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F2A4A">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2C80D">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7BFC8B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特种作业人员未持建设系统特种人员证件上岗</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EB73DA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2000元/人次</w:t>
            </w:r>
          </w:p>
        </w:tc>
      </w:tr>
      <w:tr w14:paraId="4578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CEEEC">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BC547">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5B63010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未给作业人员配备符合国家标准或行业标准的劳动防护用品（安全帽、五点式安全带等），并正确佩戴、使用的。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30FAE4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50元/人/次</w:t>
            </w:r>
          </w:p>
        </w:tc>
      </w:tr>
      <w:tr w14:paraId="0E8D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ADBCA">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B0545">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04D490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未对实施作业许可证管理的动火作业、进入有限空间作业等危险性作业，严格履行审批手续的。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B8282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6D95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37F56">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789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文明施工</w:t>
            </w: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34A5B8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未妥善保管甲方采购的围挡、水马、标识标牌等文明施工物资，最后归还损耗率大于3%</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D55F11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超出损耗部分按照材料购买价扣除</w:t>
            </w:r>
          </w:p>
        </w:tc>
      </w:tr>
      <w:tr w14:paraId="0E84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1C079">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B2AE0">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5D80231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所属施工区域现场泥桨等污水未经沉淀直接排入市政管网</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5AC138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086E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EC50A">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9419C">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5A8BF65B">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所属施工区域未做到“工完料净场地清”</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62369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3029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414BE">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329BE">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48A70663">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堆土及易产生粉尘的作业未采取覆盖、封闭、洒水等控制扬尘措施的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F2A004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30AB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4544D">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C1AFC">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67154BB0">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施工现场焚烧各类废弃物或造成一定责任后果的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AD6EF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01B5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0F6C2">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5C9F9">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5AD8318A">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所属施工区域现场材料未堆码整齐或未用围挡标识</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1B2C90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5214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FF25C">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12C02">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04C621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建筑垃圾、材料从高处向下抛撒的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C4D33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54BE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A4907">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076C4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生活区管理</w:t>
            </w: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6B521C7">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宿舍内使用“热得快”、电磁炉等大功率用电设备或电缆私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拉乱接的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3BA564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3F68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A06FF">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DE9FB">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7A3A2F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食堂工作人员未办理健康证</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6865CC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100元/次</w:t>
            </w:r>
          </w:p>
        </w:tc>
      </w:tr>
      <w:tr w14:paraId="02FA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99662">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A975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4AC68376">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食堂使用的液化气瓶未设置燃气报警器</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1BD710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0C80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4701E">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B4F1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200189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办公区、生活区垃圾桶无盖或现场不符合文明考评标准</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D37373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100元/处</w:t>
            </w:r>
          </w:p>
        </w:tc>
      </w:tr>
      <w:tr w14:paraId="0221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4FAA8">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4080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6599C5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脚手架搭设完毕后未验收投入使用</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8F5C73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2569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FD9A7">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86442">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0B27C4E8">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立杆基础不平、不实、不符合规范要求</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8996E0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534F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EBC51">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57FA0">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D5E737E">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立杆底部缺少底座、垫板或垫板的规格不符合规范要求</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36AAEE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2269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8DDD0">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5EC65">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986E681">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未按规范要求设置纵、横向扫地杆或扫地杆的设置和固定不符合规范要求</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F038BA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7D70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CAC3E">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8DBD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181312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立杆、纵向水平杆、横向水平杆间距超过设计或规范要求</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BD7C35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07FF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7D4AD">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33D27">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340AD44">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连墙杆件未连接至外立杆</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7A35B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6BED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6BBD9">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095BE">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5360CB63">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连墙杆件未按每两步三跨设置一根</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E4B052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0A8F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13E14">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271A9">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72CD99C7">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脚手板设置不符合规定</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8DE833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500元/处</w:t>
            </w:r>
          </w:p>
        </w:tc>
      </w:tr>
      <w:tr w14:paraId="7FDC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6E36C">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8F93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A2958BF">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安全网张挂不严密或使用不合格的绑扎绳绑扎的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7A677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6587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58EC7">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1C654">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43C196F3">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未设防护栏杆或高度不小于 180mm 的踢脚板</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B2112A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75D4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DE44D">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035B6">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4C1B0939">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未按要求设置剪刀撑或横向斜撑</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B09AC8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1213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B4465">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22BD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4B53D6FE">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剪刀撑、斜撑未按规范设置</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3BA6D7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12DE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07186">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E5BA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732CD620">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杆件对接扣件的布置不符合规范要求</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9247E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4CDD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A593B">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7C358">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2C657170">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未设置人员上下通道或通道设置不符合要求</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5D677C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2000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EAD70">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B5001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模板</w:t>
            </w: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6843CAC1">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留有未拆除的悬空模板</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6FEEA4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7DCF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AD23D">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0CF85">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22FF1BF7">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拆除前未办理拆除手续</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C0D706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616F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CBA4F">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7D7D2">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26328431">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未开展模板验收或验收不合格而进入了下一道工序</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37D209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61CD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8DAE3">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BF18E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基坑</w:t>
            </w: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3F6D36AF">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基坑未按要求设置排水措施</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FB9EA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052A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820B5">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C60F7">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64E9E04">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未按方案要求进行基坑（槽）支护的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BE46F8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0D24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7B3E8">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3D120">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F5C3F24">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沟槽临边防护缺失或无作业区域基坑（槽）未挂设安全兜网</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A1365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0277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27C8E">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2E0AE">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CAAA021">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人工探挖或坑底作业无专人看护的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C474BC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35A6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7ECC1">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9E12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65E569B3">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上下通道不符合要求</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2457A4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1C4A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D4FCB">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7E3A4">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5F2C8F6">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积土、料具堆放与设备停放距基坑边不符合设计规定</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64B310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500元/处</w:t>
            </w:r>
          </w:p>
        </w:tc>
      </w:tr>
      <w:tr w14:paraId="7E48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6BED2">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20F49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三宝四口</w:t>
            </w: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41C72C1F">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电梯井口、楼梯口、预留洞口、坑井口未采取防护措施的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8E4DD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6D64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E9A91">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0EA8B">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6E9C4097">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临边未按要求搭设防护栏杆</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F94277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500元/处</w:t>
            </w:r>
          </w:p>
        </w:tc>
      </w:tr>
      <w:tr w14:paraId="43D2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A61C5">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55ED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2FB1A0C2">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私自拆除安全防护设施，破坏安全标志、警示标牌等</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BA8A7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500元/处</w:t>
            </w:r>
          </w:p>
        </w:tc>
      </w:tr>
      <w:tr w14:paraId="48D0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554CB">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EBDD0">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28936C9B">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安全网规格、材质不符合标准</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36E5DE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739A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D3AD3">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5FFF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塔机</w:t>
            </w: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9939E01">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安全保护装置缺失、失效或调整不当</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13B956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32F1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7BE47">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214AE">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05F48FC7">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塔吊基础积水无排水措施</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8CF30B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5F4F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E2834">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96490">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2B0B401A">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未定期进行检测</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D7E841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30FB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DD832">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6896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699B642">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多塔作业无防碰撞措施</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1BB69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374E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13632">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5F618">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2F4859B8">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六级风以上吊装作业</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D880E7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0D5B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6280B">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82F0B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施工用电/中小型机具/设备机具</w:t>
            </w: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D2FB05B">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配电箱无门无锁、箱门损坏、电气元件配置不符合要求，箱体电线进出口无保护措施，箱内有杂物，无警示标志，无统一编号标识。</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B49842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100元/处</w:t>
            </w:r>
          </w:p>
        </w:tc>
      </w:tr>
      <w:tr w14:paraId="4146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28C3F">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2D4E2">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50D1147B">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用电设备未采取漏电保护措施，工作接地与重复接地不符合要求。</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D328D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100元/处</w:t>
            </w:r>
          </w:p>
        </w:tc>
      </w:tr>
      <w:tr w14:paraId="1EF9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B5189">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0F55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5CBE9499">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电缆线随地拖、浸泡水中、私拉乱接电线，电线存在破皮老化等情况。</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F27EAB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45B4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A844D">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3DD0F">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6517D97E">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临电系统必须采用“TN-S”三相五线制，三级配电两级保护，未执行“一机、一闸、一漏、一箱”。</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DEE3D1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1081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79A7F">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D055F">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2341DF21">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使用无漏保功能的接线板</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12EE1D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50元/处</w:t>
            </w:r>
          </w:p>
        </w:tc>
      </w:tr>
      <w:tr w14:paraId="179F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6EC2D">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40AF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32C84D52">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配电箱、开关箱、机械设备安装位置不当，安装高度不够，没有可靠的安全操作距离等。</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6C5A94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100元/处</w:t>
            </w:r>
          </w:p>
        </w:tc>
      </w:tr>
      <w:tr w14:paraId="1452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DFA0C">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CD7E7">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031EF9E6">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配电箱内回路无标识、线路图、巡检记录，且巡检记录未及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时更新。</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EBC5E0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50元/处</w:t>
            </w:r>
          </w:p>
        </w:tc>
      </w:tr>
      <w:tr w14:paraId="5CF7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293D3">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3511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7983562C">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Ⅱ类手持电动工具无保护接零的、外壳破损的。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2D189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2B53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B3AAF">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F1579">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09AD852E">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电焊机一次线、二次线长度超过规定的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CA634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20F4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7BEAB">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35F3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4C9A1D7D">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电焊机无防雨措施的、浸泡水中、地面潮湿的。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EEA75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331F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349A8">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B729F">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2B5FA2D3">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固定机械设备操作处无操作规程。</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5626B3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50元/处</w:t>
            </w:r>
          </w:p>
        </w:tc>
      </w:tr>
      <w:tr w14:paraId="74BC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D4C9D">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B0535">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0112A51F">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起重吊装作业违反“十不吊”</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7F2D70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3452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DCD11">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21AC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07559EE2">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起重用吊索、吊具不符合规范要求</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6C8F6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4A00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78553">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5DFD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消防管理</w:t>
            </w: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00BF609B">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未在现场指定区域吸烟。</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CD89C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50元/次</w:t>
            </w:r>
          </w:p>
        </w:tc>
      </w:tr>
      <w:tr w14:paraId="22E8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FC872">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F515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32BD703E">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乙炔瓶、氧气瓶等安全间距不足</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FBFF4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100元/次</w:t>
            </w:r>
          </w:p>
        </w:tc>
      </w:tr>
      <w:tr w14:paraId="7B9F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67D74">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90E7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73A79CF2">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乙炔瓶、氧气瓶无减压仪表、仪表损坏、气管未及时更换的，乙炔瓶无防回火装置，气瓶无防震圈、瓶帽保护措施。</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1C1855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6BB3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9B42C">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85182">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49DA4F73">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挪用或破坏消防设施。</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FE4AF5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500元/处</w:t>
            </w:r>
          </w:p>
        </w:tc>
      </w:tr>
      <w:tr w14:paraId="1B69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857F3">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BAE4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7AFEBDFC">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占用、堵塞消防设施或通道。</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499467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500元/处</w:t>
            </w:r>
          </w:p>
        </w:tc>
      </w:tr>
      <w:tr w14:paraId="5B18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54D37">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67BB9">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627B51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发生火灾事故</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9027C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除承担相应责任和损失外 ，扣除违约金 5000元/次</w:t>
            </w:r>
          </w:p>
        </w:tc>
      </w:tr>
      <w:tr w14:paraId="2841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B1077">
            <w:pPr>
              <w:jc w:val="center"/>
              <w:rPr>
                <w:rFonts w:hint="eastAsia" w:ascii="宋体" w:hAnsi="宋体" w:eastAsia="宋体" w:cs="宋体"/>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7284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有限空间作</w:t>
            </w: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26AB24DB">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未严格遵守先通风再检测后作业原则或通风检测不合格仍然作业的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EB319A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2000元/次</w:t>
            </w:r>
          </w:p>
        </w:tc>
      </w:tr>
      <w:tr w14:paraId="7BF0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D994D">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58460">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79A1661A">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有限空间作业无专人监护的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6D42F7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3633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DDD35">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B151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539BB962">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作业现场未配备正压式空气呼吸器等应急救援物资设备的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2F36B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5B80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FFDAF">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B816F">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78459CD8">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有限空间作业未按要求佩戴防护用品的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4661B2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602E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0BBA7">
            <w:pPr>
              <w:jc w:val="center"/>
              <w:rPr>
                <w:rFonts w:hint="eastAsia" w:ascii="宋体" w:hAnsi="宋体" w:eastAsia="宋体" w:cs="宋体"/>
                <w:b/>
                <w:bCs/>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D6397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环境保护</w:t>
            </w: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1B4C85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未及时清运现场丢弃的生活及建筑垃圾至甲方指定堆放地点。</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9C54D9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560A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F0090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质量管理</w:t>
            </w: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911B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按图施工</w:t>
            </w: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202D8C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未按图施工，违反工艺规程，造成返工的；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584C19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523F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24D3C">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3624B">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1405F39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未按规范、图纸施工，造成质量事故。</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5D102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除承担相应责任和损失外，扣除违约金 5000 元/次</w:t>
            </w:r>
          </w:p>
        </w:tc>
      </w:tr>
      <w:tr w14:paraId="0E88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0E889">
            <w:pPr>
              <w:jc w:val="center"/>
              <w:rPr>
                <w:rFonts w:hint="eastAsia" w:ascii="微软雅黑" w:hAnsi="微软雅黑" w:eastAsia="微软雅黑" w:cs="微软雅黑"/>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46C32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材料</w:t>
            </w: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15E959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材料与设备进场后，未报送相关产品的质量证明文件、检测报告、质保书等相关资料的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96937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37A0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79F16">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70C2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3FA6BE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材料与设备进场后，未及时按要求送检，导致影响施工使用。</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3245DE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5387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31F6D">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4227E">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3029A9C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材料与设备进场后，未验收合格，并擅自使用。</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BD26C0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除拆除返工外，扣除违约金 1000 元/次</w:t>
            </w:r>
          </w:p>
        </w:tc>
      </w:tr>
      <w:tr w14:paraId="35B2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5227D">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6365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6DC9415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不经批准，私自对批准的材料进行代换。</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696230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0DE8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79B38">
            <w:pPr>
              <w:jc w:val="center"/>
              <w:rPr>
                <w:rFonts w:hint="eastAsia" w:ascii="微软雅黑" w:hAnsi="微软雅黑" w:eastAsia="微软雅黑" w:cs="微软雅黑"/>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07334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混凝土</w:t>
            </w: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35E609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混凝土浇筑前未对混凝土进行坍落度试验并留记录的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83544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6B55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5B27F">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1EC58">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28D82B3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混凝土浇筑未按规定留置试块的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0D46405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7BBC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C028D">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60556">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20C630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混凝土试块未在规定时间内送检的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13E2F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200元/次</w:t>
            </w:r>
          </w:p>
        </w:tc>
      </w:tr>
      <w:tr w14:paraId="53D6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2805A">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5A022">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14A2878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混凝土浇筑时擅自掺水的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9DEF4F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500元/次</w:t>
            </w:r>
          </w:p>
        </w:tc>
      </w:tr>
      <w:tr w14:paraId="3040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3738E">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D604B">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5CB58F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混凝土未按要求收光、养护、覆盖、保温、降温</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609F7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200元/处</w:t>
            </w:r>
          </w:p>
        </w:tc>
      </w:tr>
      <w:tr w14:paraId="5F97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93E66">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2625F">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708014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施工缝剔凿不干净或没清理干净，浇筑不密实</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85E9D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100元/条</w:t>
            </w:r>
          </w:p>
        </w:tc>
      </w:tr>
      <w:tr w14:paraId="0D1F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BA9EA">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65F1B">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065F3B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现浇结构构件主要受力部位存在漏筋、贯穿性裂缝、连接部位有影响结构传力的严重质量缺陷</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699BD7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500元/处</w:t>
            </w:r>
          </w:p>
        </w:tc>
      </w:tr>
      <w:tr w14:paraId="1709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E651D">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DF2FC">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center"/>
          </w:tcPr>
          <w:p w14:paraId="5B6E21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单块夹渣、蜂窝、麻面面积大于2500cm2或单个孔洞面积大于900cm2，</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20C57A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500元/处</w:t>
            </w:r>
          </w:p>
        </w:tc>
      </w:tr>
      <w:tr w14:paraId="3CC5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277AF">
            <w:pPr>
              <w:jc w:val="center"/>
              <w:rPr>
                <w:rFonts w:hint="eastAsia" w:ascii="微软雅黑" w:hAnsi="微软雅黑" w:eastAsia="微软雅黑" w:cs="微软雅黑"/>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03D1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钢筋</w:t>
            </w: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80D1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钢筋品种、规格、数量错误</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1521C">
            <w:pPr>
              <w:keepNext w:val="0"/>
              <w:keepLines w:val="0"/>
              <w:widowControl/>
              <w:suppressLineNumbers w:val="0"/>
              <w:ind w:left="0" w:leftChars="0" w:firstLine="0" w:firstLineChars="0"/>
              <w:jc w:val="both"/>
              <w:textAlignment w:val="center"/>
              <w:rPr>
                <w:rFonts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50元/根</w:t>
            </w:r>
          </w:p>
        </w:tc>
      </w:tr>
      <w:tr w14:paraId="396D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FE55B">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37D2C">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8D87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直螺纹接头完整丝扣数量不足，或丝扣长度多于2扣以上</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E0DE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50元/个</w:t>
            </w:r>
          </w:p>
        </w:tc>
      </w:tr>
      <w:tr w14:paraId="5E99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AD821">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8180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C62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钢筋未按照规范要求进行绑扎</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885D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50元/处</w:t>
            </w:r>
          </w:p>
        </w:tc>
      </w:tr>
      <w:tr w14:paraId="1934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3FA08">
            <w:pPr>
              <w:jc w:val="center"/>
              <w:rPr>
                <w:rFonts w:hint="eastAsia" w:ascii="微软雅黑" w:hAnsi="微软雅黑" w:eastAsia="微软雅黑" w:cs="微软雅黑"/>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CE3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模板</w:t>
            </w: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5DD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后浇带底模未采用独立支撑体系</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5ED3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500元/处</w:t>
            </w:r>
          </w:p>
        </w:tc>
      </w:tr>
      <w:tr w14:paraId="4FDA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C1998">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536E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3AE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用蛇皮袋、塑料袋等堵缝或模板上有锯末、塑料瓶等杂物。</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5C4E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50元/处</w:t>
            </w:r>
          </w:p>
        </w:tc>
      </w:tr>
      <w:tr w14:paraId="6041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C765D">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07665">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5334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有防水要求的墙体使用普通螺杆、铁丝等加固模板</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E185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50元/处</w:t>
            </w:r>
          </w:p>
        </w:tc>
      </w:tr>
      <w:tr w14:paraId="2907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63423">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7EABF">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BC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混凝土强度未达到规范要求而拆模</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211A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1000元/处</w:t>
            </w:r>
          </w:p>
        </w:tc>
      </w:tr>
      <w:tr w14:paraId="0C36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E64B3">
            <w:pPr>
              <w:jc w:val="center"/>
              <w:rPr>
                <w:rFonts w:hint="eastAsia" w:ascii="微软雅黑" w:hAnsi="微软雅黑" w:eastAsia="微软雅黑" w:cs="微软雅黑"/>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42D4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砌体</w:t>
            </w: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2ED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砌体、砂浆的品种、规格、强度等级错误</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488D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500元/次</w:t>
            </w:r>
          </w:p>
        </w:tc>
      </w:tr>
      <w:tr w14:paraId="4736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1233C">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C6532">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799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墙体分片砌筑，没形成整体，接槎处不留阳槎或踏步槎。</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4406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500元/处</w:t>
            </w:r>
          </w:p>
        </w:tc>
      </w:tr>
      <w:tr w14:paraId="096F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AA22">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1F4C2">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F6C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拉结筋不牢固，深度不够，未吹灰，植筋胶配比不对，植筋胶不饱满</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B475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50元/根</w:t>
            </w:r>
          </w:p>
        </w:tc>
      </w:tr>
      <w:tr w14:paraId="485E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58E1F">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A070E">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052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窗台和窗边无压顶、无防水构造，过梁、压顶长度不够，形状不规整</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0E22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50元/处</w:t>
            </w:r>
          </w:p>
        </w:tc>
      </w:tr>
      <w:tr w14:paraId="5E18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3969A">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0980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C7F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粘土砖、蒸压加气混凝土块、混凝土砌块上墙前没湿水</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E72C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50元/处</w:t>
            </w:r>
          </w:p>
        </w:tc>
      </w:tr>
      <w:tr w14:paraId="7855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30C58">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CF3A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1804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过梁、构造柱、压顶、拉梁等混凝土构件的混凝土自行加水，或初凝后打碎再拌合使用。</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BEF9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200元/次</w:t>
            </w:r>
          </w:p>
        </w:tc>
      </w:tr>
      <w:tr w14:paraId="430C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AFED8">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74FBD">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565F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外墙二次结构浇筑不密实，存在蜂窝、麻面、漏浆、露筋、胀模、夹渣现象。外墙常规砌筑一次到顶。外墙顶砌或顶部塞缝完成后存在裂缝</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F6D7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200元/次</w:t>
            </w:r>
          </w:p>
        </w:tc>
      </w:tr>
      <w:tr w14:paraId="611F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30D4F">
            <w:pPr>
              <w:jc w:val="center"/>
              <w:rPr>
                <w:rFonts w:hint="eastAsia" w:ascii="微软雅黑" w:hAnsi="微软雅黑" w:eastAsia="微软雅黑" w:cs="微软雅黑"/>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A0A5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抹灰</w:t>
            </w: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108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不同基体间抹灰不挂钢丝网</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EA6A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50元/处</w:t>
            </w:r>
          </w:p>
        </w:tc>
      </w:tr>
      <w:tr w14:paraId="5843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07BE3">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54081">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7702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螺杆眼未进行有效封堵及防水处理就开始抹灰</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2B4E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50元/处</w:t>
            </w:r>
          </w:p>
        </w:tc>
      </w:tr>
      <w:tr w14:paraId="0BA0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D7260">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240B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786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砂浆不挂配合比标识，或配合比错误、上料偏差大</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868C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1000元/次</w:t>
            </w:r>
          </w:p>
        </w:tc>
      </w:tr>
      <w:tr w14:paraId="2256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D95EC">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73540">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6A8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抹灰大面积空鼓、开裂、起砂，占检查面积的30%以上</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FCB2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Style w:val="12"/>
                <w:snapToGrid w:val="0"/>
                <w:color w:val="000000"/>
                <w:lang w:val="en-US" w:eastAsia="zh-CN" w:bidi="ar"/>
              </w:rPr>
              <w:t>500元/100m</w:t>
            </w:r>
            <w:r>
              <w:rPr>
                <w:rStyle w:val="13"/>
                <w:snapToGrid w:val="0"/>
                <w:color w:val="000000"/>
                <w:lang w:val="en-US" w:eastAsia="zh-CN" w:bidi="ar"/>
              </w:rPr>
              <w:t>2</w:t>
            </w:r>
          </w:p>
        </w:tc>
      </w:tr>
      <w:tr w14:paraId="7DF0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37C29">
            <w:pPr>
              <w:jc w:val="center"/>
              <w:rPr>
                <w:rFonts w:hint="eastAsia" w:ascii="微软雅黑" w:hAnsi="微软雅黑" w:eastAsia="微软雅黑" w:cs="微软雅黑"/>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48E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其它</w:t>
            </w: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573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隐蔽工程，未按规定报验或验收不合格，而私自进行下道工序施工的</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19D3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500元/次</w:t>
            </w:r>
          </w:p>
        </w:tc>
      </w:tr>
      <w:tr w14:paraId="1FC8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48A86">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F7E9">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DCAD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施工中偷工减料的</w:t>
            </w:r>
          </w:p>
        </w:tc>
        <w:tc>
          <w:tcPr>
            <w:tcW w:w="2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8281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1000元/次</w:t>
            </w:r>
          </w:p>
        </w:tc>
      </w:tr>
      <w:tr w14:paraId="2EC3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E54CB">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929F37">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6AA579ED">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抵制、拒绝、阻扰质量管理人员的监督检查的。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2C9F482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4C02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5C161">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8FE300">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53393570">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各分部分项工程经过验收合格后未做好成品保护，导致遭到破坏的。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713429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自行承担损失</w:t>
            </w:r>
          </w:p>
        </w:tc>
      </w:tr>
      <w:tr w14:paraId="2FBB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DDB6C">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6AAE32">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165E6128">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分项验收质量评为不合格的。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1746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2000元/次</w:t>
            </w:r>
          </w:p>
        </w:tc>
      </w:tr>
      <w:tr w14:paraId="3DFC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BFDBA">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D37E1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36014760">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关键工序的质量存在问题，故意隐瞒、故意掩盖。</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692E49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4605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37125">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51F49A">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2B38324E">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未经批准，私自变更施工方案或不按已批准的方案施工。</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5EF7A78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1000元/次</w:t>
            </w:r>
          </w:p>
        </w:tc>
      </w:tr>
      <w:tr w14:paraId="7A0C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700D1">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E5620D">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3C2CD376">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对其它专业的成品造成破坏的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6E69414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除赔偿外，扣除违约金500元/次</w:t>
            </w:r>
          </w:p>
        </w:tc>
      </w:tr>
      <w:tr w14:paraId="5851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31627">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BED846">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53B16D67">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经检查，发现建筑和结构有大量渗水事件，造成严重后果。</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3FA87F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 元/次</w:t>
            </w:r>
          </w:p>
        </w:tc>
      </w:tr>
      <w:tr w14:paraId="7BF4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D1DB0">
            <w:pPr>
              <w:jc w:val="center"/>
              <w:rPr>
                <w:rFonts w:hint="eastAsia" w:ascii="微软雅黑" w:hAnsi="微软雅黑" w:eastAsia="微软雅黑" w:cs="微软雅黑"/>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792DE3">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single" w:color="000000" w:sz="4" w:space="0"/>
              <w:bottom w:val="single" w:color="000000" w:sz="4" w:space="0"/>
              <w:right w:val="single" w:color="000000" w:sz="4" w:space="0"/>
            </w:tcBorders>
            <w:noWrap w:val="0"/>
            <w:vAlign w:val="top"/>
          </w:tcPr>
          <w:p w14:paraId="4728D014">
            <w:pPr>
              <w:keepNext w:val="0"/>
              <w:keepLines w:val="0"/>
              <w:widowControl/>
              <w:suppressLineNumbers w:val="0"/>
              <w:ind w:left="0" w:lef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未按规定整理保存工程档案资料，故意修改、隐瞒或销毁工程档案资料。</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C699AE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 元/次</w:t>
            </w:r>
          </w:p>
        </w:tc>
      </w:tr>
      <w:tr w14:paraId="183E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7834B8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不良影响</w:t>
            </w:r>
          </w:p>
        </w:tc>
        <w:tc>
          <w:tcPr>
            <w:tcW w:w="1316" w:type="dxa"/>
            <w:tcBorders>
              <w:top w:val="nil"/>
              <w:left w:val="single" w:color="000000" w:sz="4" w:space="0"/>
              <w:bottom w:val="single" w:color="000000" w:sz="4" w:space="0"/>
              <w:right w:val="single" w:color="000000" w:sz="4" w:space="0"/>
            </w:tcBorders>
            <w:noWrap w:val="0"/>
            <w:vAlign w:val="center"/>
          </w:tcPr>
          <w:p w14:paraId="255B291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检查</w:t>
            </w:r>
          </w:p>
        </w:tc>
        <w:tc>
          <w:tcPr>
            <w:tcW w:w="8868" w:type="dxa"/>
            <w:tcBorders>
              <w:top w:val="nil"/>
              <w:left w:val="nil"/>
              <w:bottom w:val="nil"/>
              <w:right w:val="single" w:color="000000" w:sz="4" w:space="0"/>
            </w:tcBorders>
            <w:noWrap w:val="0"/>
            <w:vAlign w:val="center"/>
          </w:tcPr>
          <w:p w14:paraId="320BA7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因分包单位原因造成总包单位被建设单位、总包上级单位、政府主管部门组织的检查中被罚款</w:t>
            </w:r>
          </w:p>
        </w:tc>
        <w:tc>
          <w:tcPr>
            <w:tcW w:w="2731" w:type="dxa"/>
            <w:tcBorders>
              <w:top w:val="nil"/>
              <w:left w:val="single" w:color="000000" w:sz="4" w:space="0"/>
              <w:bottom w:val="nil"/>
              <w:right w:val="single" w:color="000000" w:sz="4" w:space="0"/>
            </w:tcBorders>
            <w:noWrap w:val="0"/>
            <w:vAlign w:val="center"/>
          </w:tcPr>
          <w:p w14:paraId="07588E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除承担相应责任和损失外，扣除违约金 1000元/次</w:t>
            </w:r>
          </w:p>
        </w:tc>
      </w:tr>
      <w:tr w14:paraId="0EAA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6EB743">
            <w:pPr>
              <w:jc w:val="center"/>
              <w:rPr>
                <w:rFonts w:hint="eastAsia" w:ascii="微软雅黑" w:hAnsi="微软雅黑" w:eastAsia="微软雅黑" w:cs="微软雅黑"/>
                <w:b/>
                <w:bCs/>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5BD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不良影响</w:t>
            </w:r>
          </w:p>
        </w:tc>
        <w:tc>
          <w:tcPr>
            <w:tcW w:w="8868" w:type="dxa"/>
            <w:tcBorders>
              <w:top w:val="single" w:color="000000" w:sz="4" w:space="0"/>
              <w:left w:val="nil"/>
              <w:bottom w:val="single" w:color="000000" w:sz="4" w:space="0"/>
              <w:right w:val="single" w:color="000000" w:sz="4" w:space="0"/>
            </w:tcBorders>
            <w:noWrap w:val="0"/>
            <w:vAlign w:val="center"/>
          </w:tcPr>
          <w:p w14:paraId="7E73876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因分包单位原因造成总包单位受到“12345政务服务便民热线”投诉、各渠道信访，未能妥善解决的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3BA538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2000元/次</w:t>
            </w:r>
          </w:p>
        </w:tc>
      </w:tr>
      <w:tr w14:paraId="6BD2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2556E4">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0D63F">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nil"/>
              <w:bottom w:val="single" w:color="000000" w:sz="4" w:space="0"/>
              <w:right w:val="single" w:color="000000" w:sz="4" w:space="0"/>
            </w:tcBorders>
            <w:noWrap w:val="0"/>
            <w:vAlign w:val="center"/>
          </w:tcPr>
          <w:p w14:paraId="6F0E97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因分包单位原因造成对总包单位有负面影响的事件被自媒体平台传播，未能妥善解决的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A0F159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5000元/次</w:t>
            </w:r>
          </w:p>
        </w:tc>
      </w:tr>
      <w:tr w14:paraId="375F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C2D582">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BBB68">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nil"/>
              <w:bottom w:val="single" w:color="000000" w:sz="4" w:space="0"/>
              <w:right w:val="single" w:color="000000" w:sz="4" w:space="0"/>
            </w:tcBorders>
            <w:noWrap w:val="0"/>
            <w:vAlign w:val="center"/>
          </w:tcPr>
          <w:p w14:paraId="680A58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因分包单位原因造成对总包单位有负面影响的事件被报纸、新闻等媒体曝光</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3AC173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10000元/篇报道</w:t>
            </w:r>
          </w:p>
        </w:tc>
      </w:tr>
      <w:tr w14:paraId="6A47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26F20F">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1814F">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nil"/>
              <w:bottom w:val="single" w:color="000000" w:sz="4" w:space="0"/>
              <w:right w:val="single" w:color="000000" w:sz="4" w:space="0"/>
            </w:tcBorders>
            <w:noWrap w:val="0"/>
            <w:vAlign w:val="center"/>
          </w:tcPr>
          <w:p w14:paraId="5EB26E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因分包单位原因造成总包单位被建设单位、总包上级单位通报批评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0C3CCF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5000元/次</w:t>
            </w:r>
          </w:p>
        </w:tc>
      </w:tr>
      <w:tr w14:paraId="285C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BD65F8">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01217">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nil"/>
              <w:bottom w:val="single" w:color="000000" w:sz="4" w:space="0"/>
              <w:right w:val="single" w:color="000000" w:sz="4" w:space="0"/>
            </w:tcBorders>
            <w:noWrap w:val="0"/>
            <w:vAlign w:val="center"/>
          </w:tcPr>
          <w:p w14:paraId="12A2341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因分包单位原因造成总包单位被政府通报批评</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1495D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10000元/次</w:t>
            </w:r>
          </w:p>
        </w:tc>
      </w:tr>
      <w:tr w14:paraId="4D93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1B1451">
            <w:pPr>
              <w:jc w:val="center"/>
              <w:rPr>
                <w:rFonts w:hint="eastAsia" w:ascii="微软雅黑" w:hAnsi="微软雅黑" w:eastAsia="微软雅黑" w:cs="微软雅黑"/>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35117">
            <w:pPr>
              <w:jc w:val="center"/>
              <w:rPr>
                <w:rFonts w:hint="eastAsia" w:ascii="宋体" w:hAnsi="宋体" w:eastAsia="宋体" w:cs="宋体"/>
                <w:i w:val="0"/>
                <w:iCs w:val="0"/>
                <w:color w:val="000000"/>
                <w:sz w:val="22"/>
                <w:szCs w:val="22"/>
                <w:u w:val="none"/>
              </w:rPr>
            </w:pPr>
          </w:p>
        </w:tc>
        <w:tc>
          <w:tcPr>
            <w:tcW w:w="8868" w:type="dxa"/>
            <w:tcBorders>
              <w:top w:val="single" w:color="000000" w:sz="4" w:space="0"/>
              <w:left w:val="nil"/>
              <w:bottom w:val="single" w:color="000000" w:sz="4" w:space="0"/>
              <w:right w:val="single" w:color="000000" w:sz="4" w:space="0"/>
            </w:tcBorders>
            <w:noWrap w:val="0"/>
            <w:vAlign w:val="center"/>
          </w:tcPr>
          <w:p w14:paraId="6EDB2E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工人发生人身伤害，因乙方处理不及时导致伤者对甲方造成滋扰或面临诉讼、仲裁等负面影响</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7AAA65D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除承担相应责任和损失外，扣除违约金 5000元/次</w:t>
            </w:r>
          </w:p>
        </w:tc>
      </w:tr>
      <w:tr w14:paraId="53B4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566297">
            <w:pPr>
              <w:jc w:val="center"/>
              <w:rPr>
                <w:rFonts w:hint="eastAsia" w:ascii="微软雅黑" w:hAnsi="微软雅黑" w:eastAsia="微软雅黑" w:cs="微软雅黑"/>
                <w:b/>
                <w:bCs/>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6D04C6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8868" w:type="dxa"/>
            <w:tcBorders>
              <w:top w:val="single" w:color="000000" w:sz="4" w:space="0"/>
              <w:left w:val="nil"/>
              <w:bottom w:val="single" w:color="000000" w:sz="4" w:space="0"/>
              <w:right w:val="single" w:color="000000" w:sz="4" w:space="0"/>
            </w:tcBorders>
            <w:noWrap w:val="0"/>
            <w:vAlign w:val="center"/>
          </w:tcPr>
          <w:p w14:paraId="64AE94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因分包单位原因造成总包单位被政府相关部门处罚</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474A206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除承担相应责任和损失外，扣除违约金 10000元/次</w:t>
            </w:r>
          </w:p>
        </w:tc>
      </w:tr>
    </w:tbl>
    <w:p w14:paraId="59191F9B">
      <w:pPr>
        <w:pageBreakBefore w:val="0"/>
        <w:wordWrap/>
        <w:overflowPunct/>
        <w:topLinePunct w:val="0"/>
        <w:bidi w:val="0"/>
        <w:spacing w:before="68" w:line="560" w:lineRule="exact"/>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工程</w:t>
      </w:r>
      <w:r>
        <w:rPr>
          <w:rFonts w:hint="eastAsia" w:ascii="仿宋_GB2312" w:hAnsi="仿宋" w:eastAsia="仿宋_GB2312" w:cs="仿宋"/>
          <w:spacing w:val="-2"/>
          <w:sz w:val="32"/>
          <w:szCs w:val="32"/>
          <w:lang w:eastAsia="zh-CN"/>
        </w:rPr>
        <w:t>甲方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u w:val="single"/>
          <w:lang w:eastAsia="zh-CN"/>
        </w:rPr>
        <w:t xml:space="preserve">            </w:t>
      </w:r>
      <w:r>
        <w:rPr>
          <w:rFonts w:hint="eastAsia" w:ascii="仿宋_GB2312" w:hAnsi="仿宋" w:eastAsia="仿宋_GB2312" w:cs="仿宋"/>
          <w:sz w:val="32"/>
          <w:szCs w:val="32"/>
          <w:lang w:eastAsia="zh-CN"/>
        </w:rPr>
        <w:t xml:space="preserve">  </w:t>
      </w:r>
      <w:r>
        <w:rPr>
          <w:rFonts w:hint="eastAsia" w:ascii="仿宋_GB2312" w:hAnsi="仿宋" w:cs="仿宋"/>
          <w:sz w:val="32"/>
          <w:szCs w:val="32"/>
          <w:lang w:val="en-US" w:eastAsia="zh-CN"/>
        </w:rPr>
        <w:t xml:space="preserve">                   </w:t>
      </w:r>
      <w:bookmarkStart w:id="3" w:name="_GoBack"/>
      <w:bookmarkEnd w:id="3"/>
      <w:r>
        <w:rPr>
          <w:rFonts w:hint="eastAsia" w:ascii="仿宋_GB2312" w:hAnsi="仿宋" w:eastAsia="仿宋_GB2312" w:cs="仿宋"/>
          <w:sz w:val="32"/>
          <w:szCs w:val="32"/>
          <w:lang w:eastAsia="zh-CN"/>
        </w:rPr>
        <w:t>专业乙方：</w:t>
      </w:r>
      <w:r>
        <w:rPr>
          <w:rFonts w:hint="eastAsia" w:ascii="仿宋_GB2312" w:hAnsi="仿宋" w:eastAsia="仿宋_GB2312" w:cs="仿宋"/>
          <w:sz w:val="32"/>
          <w:szCs w:val="32"/>
          <w:u w:val="single"/>
          <w:lang w:eastAsia="zh-CN"/>
        </w:rPr>
        <w:t xml:space="preserve">    </w:t>
      </w:r>
      <w:r>
        <w:rPr>
          <w:rFonts w:hint="eastAsia" w:ascii="仿宋_GB2312" w:hAnsi="仿宋" w:eastAsia="仿宋_GB2312" w:cs="仿宋"/>
          <w:spacing w:val="-1"/>
          <w:sz w:val="32"/>
          <w:szCs w:val="32"/>
          <w:u w:val="single"/>
          <w:lang w:eastAsia="zh-CN"/>
        </w:rPr>
        <w:t xml:space="preserve">                </w:t>
      </w:r>
    </w:p>
    <w:p w14:paraId="79A24C32">
      <w:pPr>
        <w:pageBreakBefore w:val="0"/>
        <w:wordWrap/>
        <w:overflowPunct/>
        <w:topLinePunct w:val="0"/>
        <w:bidi w:val="0"/>
        <w:spacing w:before="1" w:line="560" w:lineRule="exact"/>
        <w:ind w:left="544"/>
        <w:jc w:val="both"/>
        <w:rPr>
          <w:rFonts w:hint="eastAsia" w:ascii="仿宋_GB2312" w:hAnsi="仿宋" w:eastAsia="仿宋_GB2312" w:cs="仿宋"/>
          <w:sz w:val="32"/>
          <w:szCs w:val="32"/>
          <w:lang w:eastAsia="zh-CN"/>
        </w:rPr>
      </w:pPr>
      <w:r>
        <w:rPr>
          <w:rFonts w:hint="eastAsia" w:ascii="仿宋_GB2312" w:hAnsi="仿宋" w:eastAsia="仿宋_GB2312" w:cs="仿宋"/>
          <w:spacing w:val="11"/>
          <w:sz w:val="32"/>
          <w:szCs w:val="32"/>
        </w:rPr>
        <w:t>（章</w:t>
      </w:r>
      <w:r>
        <w:rPr>
          <w:rFonts w:hint="eastAsia" w:ascii="仿宋_GB2312" w:hAnsi="仿宋" w:eastAsia="仿宋_GB2312" w:cs="仿宋"/>
          <w:spacing w:val="-21"/>
          <w:sz w:val="32"/>
          <w:szCs w:val="32"/>
        </w:rPr>
        <w:t>）</w:t>
      </w:r>
      <w:r>
        <w:rPr>
          <w:rFonts w:hint="eastAsia" w:ascii="仿宋_GB2312" w:hAnsi="仿宋" w:eastAsia="仿宋_GB2312" w:cs="仿宋"/>
          <w:spacing w:val="2"/>
          <w:sz w:val="32"/>
          <w:szCs w:val="32"/>
        </w:rPr>
        <w:t xml:space="preserve">                          </w:t>
      </w:r>
      <w:r>
        <w:rPr>
          <w:rFonts w:hint="eastAsia" w:ascii="仿宋_GB2312" w:hAnsi="仿宋" w:eastAsia="仿宋_GB2312" w:cs="仿宋"/>
          <w:spacing w:val="1"/>
          <w:sz w:val="32"/>
          <w:szCs w:val="32"/>
        </w:rPr>
        <w:t xml:space="preserve">   </w:t>
      </w:r>
      <w:r>
        <w:rPr>
          <w:rFonts w:hint="eastAsia" w:ascii="仿宋_GB2312" w:hAnsi="仿宋" w:cs="仿宋"/>
          <w:spacing w:val="1"/>
          <w:sz w:val="32"/>
          <w:szCs w:val="32"/>
          <w:lang w:val="en-US" w:eastAsia="zh-CN"/>
        </w:rPr>
        <w:t xml:space="preserve">     </w:t>
      </w:r>
      <w:r>
        <w:rPr>
          <w:rFonts w:hint="eastAsia" w:ascii="仿宋_GB2312" w:hAnsi="仿宋" w:eastAsia="仿宋_GB2312" w:cs="仿宋"/>
          <w:spacing w:val="-21"/>
          <w:sz w:val="32"/>
          <w:szCs w:val="32"/>
        </w:rPr>
        <w:t>（</w:t>
      </w:r>
      <w:r>
        <w:rPr>
          <w:rFonts w:hint="eastAsia" w:ascii="仿宋_GB2312" w:hAnsi="仿宋" w:eastAsia="仿宋_GB2312" w:cs="仿宋"/>
          <w:spacing w:val="11"/>
          <w:sz w:val="32"/>
          <w:szCs w:val="32"/>
        </w:rPr>
        <w:t>章）</w:t>
      </w:r>
    </w:p>
    <w:p w14:paraId="012718F9">
      <w:pPr>
        <w:pageBreakBefore w:val="0"/>
        <w:tabs>
          <w:tab w:val="left" w:pos="7469"/>
        </w:tabs>
        <w:wordWrap/>
        <w:overflowPunct/>
        <w:topLinePunct w:val="0"/>
        <w:bidi w:val="0"/>
        <w:spacing w:before="68" w:line="560" w:lineRule="exact"/>
        <w:ind w:right="927"/>
        <w:jc w:val="both"/>
        <w:rPr>
          <w:rFonts w:hint="eastAsia" w:ascii="仿宋_GB2312" w:hAnsi="仿宋" w:eastAsia="仿宋_GB2312" w:cs="仿宋"/>
          <w:sz w:val="32"/>
          <w:szCs w:val="32"/>
        </w:rPr>
      </w:pPr>
      <w:r>
        <w:rPr>
          <w:rFonts w:hint="eastAsia" w:ascii="仿宋_GB2312" w:hAnsi="仿宋" w:eastAsia="仿宋_GB2312" w:cs="仿宋"/>
          <w:spacing w:val="-1"/>
          <w:sz w:val="32"/>
          <w:szCs w:val="32"/>
        </w:rPr>
        <w:t>法定代表人：</w:t>
      </w:r>
      <w:r>
        <w:rPr>
          <w:rFonts w:hint="eastAsia" w:ascii="仿宋_GB2312" w:hAnsi="仿宋" w:eastAsia="仿宋_GB2312" w:cs="仿宋"/>
          <w:spacing w:val="-1"/>
          <w:sz w:val="32"/>
          <w:szCs w:val="32"/>
          <w:u w:val="single"/>
        </w:rPr>
        <w:t xml:space="preserve">   </w:t>
      </w:r>
      <w:r>
        <w:rPr>
          <w:rFonts w:hint="eastAsia" w:ascii="仿宋_GB2312" w:hAnsi="仿宋" w:eastAsia="仿宋_GB2312" w:cs="仿宋"/>
          <w:spacing w:val="6"/>
          <w:sz w:val="32"/>
          <w:szCs w:val="32"/>
          <w:u w:val="single"/>
          <w:lang w:eastAsia="zh-CN"/>
        </w:rPr>
        <w:t xml:space="preserve">         </w:t>
      </w:r>
      <w:r>
        <w:rPr>
          <w:rFonts w:hint="eastAsia" w:ascii="仿宋_GB2312" w:hAnsi="仿宋" w:eastAsia="仿宋_GB2312" w:cs="仿宋"/>
          <w:spacing w:val="6"/>
          <w:sz w:val="32"/>
          <w:szCs w:val="32"/>
          <w:lang w:eastAsia="zh-CN"/>
        </w:rPr>
        <w:t xml:space="preserve">  </w:t>
      </w:r>
      <w:r>
        <w:rPr>
          <w:rFonts w:hint="eastAsia" w:ascii="仿宋_GB2312" w:hAnsi="仿宋" w:cs="仿宋"/>
          <w:spacing w:val="6"/>
          <w:sz w:val="32"/>
          <w:szCs w:val="32"/>
          <w:lang w:val="en-US" w:eastAsia="zh-CN"/>
        </w:rPr>
        <w:t xml:space="preserve">               </w:t>
      </w:r>
      <w:r>
        <w:rPr>
          <w:rFonts w:hint="eastAsia" w:ascii="仿宋_GB2312" w:hAnsi="仿宋" w:eastAsia="仿宋_GB2312" w:cs="仿宋"/>
          <w:spacing w:val="-1"/>
          <w:sz w:val="32"/>
          <w:szCs w:val="32"/>
        </w:rPr>
        <w:t>法定代表人：</w:t>
      </w:r>
      <w:r>
        <w:rPr>
          <w:rFonts w:hint="eastAsia" w:ascii="仿宋_GB2312" w:hAnsi="仿宋" w:eastAsia="仿宋_GB2312" w:cs="仿宋"/>
          <w:spacing w:val="-1"/>
          <w:sz w:val="32"/>
          <w:szCs w:val="32"/>
          <w:u w:val="single"/>
        </w:rPr>
        <w:t xml:space="preserve">                    </w:t>
      </w:r>
    </w:p>
    <w:p w14:paraId="60BBBBEE">
      <w:pPr>
        <w:pageBreakBefore w:val="0"/>
        <w:wordWrap/>
        <w:overflowPunct/>
        <w:topLinePunct w:val="0"/>
        <w:bidi w:val="0"/>
        <w:spacing w:line="560" w:lineRule="exact"/>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（或委托代理人）</w:t>
      </w:r>
      <w:r>
        <w:rPr>
          <w:rFonts w:hint="eastAsia" w:ascii="仿宋_GB2312" w:hAnsi="仿宋" w:eastAsia="仿宋_GB2312" w:cs="仿宋"/>
          <w:spacing w:val="3"/>
          <w:sz w:val="32"/>
          <w:szCs w:val="32"/>
        </w:rPr>
        <w:t xml:space="preserve">              </w:t>
      </w:r>
      <w:r>
        <w:rPr>
          <w:rFonts w:hint="eastAsia" w:ascii="仿宋_GB2312" w:hAnsi="仿宋" w:cs="仿宋"/>
          <w:spacing w:val="3"/>
          <w:sz w:val="32"/>
          <w:szCs w:val="32"/>
          <w:lang w:val="en-US" w:eastAsia="zh-CN"/>
        </w:rPr>
        <w:t xml:space="preserve">          </w:t>
      </w:r>
      <w:r>
        <w:rPr>
          <w:rFonts w:hint="eastAsia" w:ascii="仿宋_GB2312" w:hAnsi="仿宋" w:eastAsia="仿宋_GB2312" w:cs="仿宋"/>
          <w:sz w:val="32"/>
          <w:szCs w:val="32"/>
        </w:rPr>
        <w:t>（或委托代理人）</w:t>
      </w:r>
      <w:r>
        <w:rPr>
          <w:rFonts w:hint="eastAsia" w:ascii="仿宋_GB2312" w:hAnsi="仿宋" w:eastAsia="仿宋_GB2312" w:cs="仿宋"/>
          <w:spacing w:val="4"/>
          <w:sz w:val="32"/>
          <w:szCs w:val="32"/>
          <w:lang w:eastAsia="zh-CN"/>
        </w:rPr>
        <w:t xml:space="preserve">   </w:t>
      </w:r>
      <w:r>
        <w:rPr>
          <w:rFonts w:hint="eastAsia" w:ascii="仿宋_GB2312" w:hAnsi="仿宋" w:cs="仿宋"/>
          <w:spacing w:val="4"/>
          <w:sz w:val="32"/>
          <w:szCs w:val="32"/>
          <w:lang w:val="en-US" w:eastAsia="zh-CN"/>
        </w:rPr>
        <w:t xml:space="preserve">          </w:t>
      </w:r>
    </w:p>
    <w:p w14:paraId="0CE712BB">
      <w:pPr>
        <w:pStyle w:val="5"/>
        <w:ind w:left="0" w:leftChars="0" w:firstLine="596" w:firstLineChars="200"/>
      </w:pPr>
      <w:r>
        <w:rPr>
          <w:rFonts w:hint="eastAsia" w:ascii="仿宋_GB2312" w:hAnsi="仿宋" w:eastAsia="仿宋_GB2312" w:cs="仿宋"/>
          <w:spacing w:val="-11"/>
          <w:sz w:val="32"/>
          <w:szCs w:val="32"/>
          <w:lang w:eastAsia="zh-CN"/>
        </w:rPr>
        <w:t>日</w:t>
      </w:r>
      <w:r>
        <w:rPr>
          <w:rFonts w:hint="eastAsia" w:ascii="仿宋_GB2312" w:hAnsi="仿宋" w:eastAsia="仿宋_GB2312" w:cs="仿宋"/>
          <w:spacing w:val="3"/>
          <w:sz w:val="32"/>
          <w:szCs w:val="32"/>
          <w:lang w:eastAsia="zh-CN"/>
        </w:rPr>
        <w:t xml:space="preserve">      </w:t>
      </w:r>
      <w:r>
        <w:rPr>
          <w:rFonts w:hint="eastAsia" w:ascii="仿宋_GB2312" w:hAnsi="仿宋" w:eastAsia="仿宋_GB2312" w:cs="仿宋"/>
          <w:spacing w:val="-11"/>
          <w:sz w:val="32"/>
          <w:szCs w:val="32"/>
          <w:lang w:eastAsia="zh-CN"/>
        </w:rPr>
        <w:t>期：</w:t>
      </w:r>
      <w:r>
        <w:rPr>
          <w:rFonts w:hint="eastAsia" w:ascii="仿宋_GB2312" w:hAnsi="仿宋" w:eastAsia="仿宋_GB2312" w:cs="仿宋"/>
          <w:spacing w:val="1"/>
          <w:sz w:val="32"/>
          <w:szCs w:val="32"/>
          <w:u w:val="single"/>
          <w:lang w:eastAsia="zh-CN"/>
        </w:rPr>
        <w:t xml:space="preserve">       </w:t>
      </w:r>
      <w:r>
        <w:rPr>
          <w:rFonts w:hint="eastAsia" w:ascii="仿宋_GB2312" w:hAnsi="仿宋" w:eastAsia="仿宋_GB2312" w:cs="仿宋"/>
          <w:spacing w:val="10"/>
          <w:sz w:val="32"/>
          <w:szCs w:val="32"/>
          <w:lang w:eastAsia="zh-CN"/>
        </w:rPr>
        <w:t xml:space="preserve">   </w:t>
      </w:r>
      <w:r>
        <w:rPr>
          <w:rFonts w:hint="eastAsia" w:hAnsi="仿宋" w:cs="仿宋"/>
          <w:spacing w:val="10"/>
          <w:sz w:val="32"/>
          <w:szCs w:val="32"/>
          <w:lang w:val="en-US" w:eastAsia="zh-CN"/>
        </w:rPr>
        <w:t xml:space="preserve">             </w:t>
      </w:r>
      <w:r>
        <w:rPr>
          <w:rFonts w:hint="eastAsia" w:ascii="仿宋_GB2312" w:hAnsi="仿宋" w:eastAsia="仿宋_GB2312" w:cs="仿宋"/>
          <w:spacing w:val="10"/>
          <w:sz w:val="32"/>
          <w:szCs w:val="32"/>
          <w:lang w:eastAsia="zh-CN"/>
        </w:rPr>
        <w:t xml:space="preserve">  </w:t>
      </w:r>
      <w:r>
        <w:rPr>
          <w:rFonts w:hint="eastAsia" w:hAnsi="仿宋" w:cs="仿宋"/>
          <w:spacing w:val="10"/>
          <w:sz w:val="32"/>
          <w:szCs w:val="32"/>
          <w:lang w:val="en-US" w:eastAsia="zh-CN"/>
        </w:rPr>
        <w:t xml:space="preserve"> </w:t>
      </w:r>
      <w:r>
        <w:rPr>
          <w:rFonts w:hint="eastAsia" w:ascii="仿宋_GB2312" w:hAnsi="仿宋" w:eastAsia="仿宋_GB2312" w:cs="仿宋"/>
          <w:spacing w:val="10"/>
          <w:sz w:val="32"/>
          <w:szCs w:val="32"/>
          <w:lang w:eastAsia="zh-CN"/>
        </w:rPr>
        <w:t xml:space="preserve"> </w:t>
      </w:r>
      <w:r>
        <w:rPr>
          <w:rFonts w:hint="eastAsia" w:ascii="仿宋_GB2312" w:hAnsi="仿宋" w:eastAsia="仿宋_GB2312" w:cs="仿宋"/>
          <w:spacing w:val="-11"/>
          <w:sz w:val="32"/>
          <w:szCs w:val="32"/>
          <w:lang w:eastAsia="zh-CN"/>
        </w:rPr>
        <w:t>日</w:t>
      </w:r>
      <w:r>
        <w:rPr>
          <w:rFonts w:hint="eastAsia" w:ascii="仿宋_GB2312" w:hAnsi="仿宋" w:eastAsia="仿宋_GB2312" w:cs="仿宋"/>
          <w:spacing w:val="4"/>
          <w:sz w:val="32"/>
          <w:szCs w:val="32"/>
          <w:lang w:eastAsia="zh-CN"/>
        </w:rPr>
        <w:t xml:space="preserve">      </w:t>
      </w:r>
      <w:r>
        <w:rPr>
          <w:rFonts w:hint="eastAsia" w:ascii="仿宋_GB2312" w:hAnsi="仿宋" w:eastAsia="仿宋_GB2312" w:cs="仿宋"/>
          <w:spacing w:val="-11"/>
          <w:sz w:val="32"/>
          <w:szCs w:val="32"/>
          <w:lang w:eastAsia="zh-CN"/>
        </w:rPr>
        <w:t>期：</w:t>
      </w:r>
      <w:r>
        <w:rPr>
          <w:rFonts w:hint="eastAsia" w:ascii="仿宋_GB2312" w:hAnsi="仿宋" w:eastAsia="仿宋_GB2312" w:cs="仿宋"/>
          <w:spacing w:val="-11"/>
          <w:sz w:val="32"/>
          <w:szCs w:val="32"/>
          <w:u w:val="single"/>
          <w:lang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253C84-C62B-41E5-B7A6-B1B41338E7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6706874-CC87-4BB5-8B67-6C17DB5FD84C}"/>
  </w:font>
  <w:font w:name="仿宋">
    <w:panose1 w:val="02010609060101010101"/>
    <w:charset w:val="86"/>
    <w:family w:val="modern"/>
    <w:pitch w:val="default"/>
    <w:sig w:usb0="800002BF" w:usb1="38CF7CFA" w:usb2="00000016" w:usb3="00000000" w:csb0="00040001" w:csb1="00000000"/>
    <w:embedRegular r:id="rId3" w:fontKey="{31F8331F-8EC2-411B-916C-1E199B75F68C}"/>
  </w:font>
  <w:font w:name="方正公文小标宋">
    <w:panose1 w:val="02000500000000000000"/>
    <w:charset w:val="86"/>
    <w:family w:val="auto"/>
    <w:pitch w:val="default"/>
    <w:sig w:usb0="A00002BF" w:usb1="38CF7CFA" w:usb2="00000016" w:usb3="00000000" w:csb0="00040001" w:csb1="00000000"/>
    <w:embedRegular r:id="rId4" w:fontKey="{2689B532-3280-4F1A-B182-45767E6E1E7F}"/>
  </w:font>
  <w:font w:name="方正大标宋简体">
    <w:panose1 w:val="02000000000000000000"/>
    <w:charset w:val="86"/>
    <w:family w:val="auto"/>
    <w:pitch w:val="default"/>
    <w:sig w:usb0="A00002BF" w:usb1="184F6CFA" w:usb2="00000012" w:usb3="00000000" w:csb0="00040001" w:csb1="00000000"/>
    <w:embedRegular r:id="rId5" w:fontKey="{CFC834E3-F635-45A1-B999-098F03F6EEDD}"/>
  </w:font>
  <w:font w:name="方正小标宋简体">
    <w:panose1 w:val="02000000000000000000"/>
    <w:charset w:val="86"/>
    <w:family w:val="auto"/>
    <w:pitch w:val="default"/>
    <w:sig w:usb0="00000001" w:usb1="08000000" w:usb2="00000000" w:usb3="00000000" w:csb0="00040000" w:csb1="00000000"/>
    <w:embedRegular r:id="rId6" w:fontKey="{E6D9662E-396A-4A7B-9CCE-4DC1A3684F3B}"/>
  </w:font>
  <w:font w:name="方正仿宋_GB2312">
    <w:panose1 w:val="02000000000000000000"/>
    <w:charset w:val="86"/>
    <w:family w:val="auto"/>
    <w:pitch w:val="default"/>
    <w:sig w:usb0="A00002BF" w:usb1="184F6CFA" w:usb2="00000012" w:usb3="00000000" w:csb0="00040001" w:csb1="00000000"/>
    <w:embedRegular r:id="rId7" w:fontKey="{33CD993F-FFF2-4ACC-8E36-379EA3E7A8C9}"/>
  </w:font>
  <w:font w:name="微软雅黑">
    <w:panose1 w:val="020B0503020204020204"/>
    <w:charset w:val="86"/>
    <w:family w:val="swiss"/>
    <w:pitch w:val="default"/>
    <w:sig w:usb0="80000287" w:usb1="2ACF3C50" w:usb2="00000016" w:usb3="00000000" w:csb0="0004001F" w:csb1="00000000"/>
    <w:embedRegular r:id="rId8" w:fontKey="{C94E52AF-5F79-4DCC-B408-614AA18947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C88F0">
    <w:pPr>
      <w:tabs>
        <w:tab w:val="center" w:pos="4153"/>
        <w:tab w:val="right" w:pos="8306"/>
      </w:tabs>
      <w:snapToGrid w:val="0"/>
      <w:rPr>
        <w:rFonts w:ascii="宋体" w:hAnsi="宋体" w:cs="宋体"/>
        <w:sz w:val="18"/>
        <w:szCs w:val="18"/>
        <w:lang w:eastAsia="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BBD71">
    <w:pPr>
      <w:spacing w:line="352" w:lineRule="exact"/>
      <w:rPr>
        <w:rFonts w:ascii="宋体" w:hAnsi="宋体" w:cs="宋体"/>
        <w:kern w:val="0"/>
        <w:sz w:val="22"/>
        <w:szCs w:val="22"/>
        <w:lang w:eastAsia="en-US"/>
      </w:rPr>
    </w:pPr>
    <w:r>
      <w:rPr>
        <w:sz w:val="18"/>
        <w:u w:val="single" w:color="CCE8CF"/>
      </w:rPr>
      <w:drawing>
        <wp:anchor distT="0" distB="0" distL="114300" distR="114300" simplePos="0" relativeHeight="251660288" behindDoc="1" locked="0" layoutInCell="1" allowOverlap="1">
          <wp:simplePos x="0" y="0"/>
          <wp:positionH relativeFrom="margin">
            <wp:posOffset>2496820</wp:posOffset>
          </wp:positionH>
          <wp:positionV relativeFrom="margin">
            <wp:posOffset>-43180</wp:posOffset>
          </wp:positionV>
          <wp:extent cx="1976755" cy="315595"/>
          <wp:effectExtent l="652780" t="0" r="669925" b="0"/>
          <wp:wrapNone/>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
                    <a:lum bright="69995"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CCE8CF"/>
      </w:rPr>
      <w:drawing>
        <wp:anchor distT="0" distB="0" distL="114300" distR="114300" simplePos="0" relativeHeight="251659264" behindDoc="1" locked="0" layoutInCell="1" allowOverlap="1">
          <wp:simplePos x="0" y="0"/>
          <wp:positionH relativeFrom="margin">
            <wp:posOffset>-808355</wp:posOffset>
          </wp:positionH>
          <wp:positionV relativeFrom="margin">
            <wp:posOffset>2642870</wp:posOffset>
          </wp:positionV>
          <wp:extent cx="1976755" cy="315595"/>
          <wp:effectExtent l="652780" t="0" r="669925" b="0"/>
          <wp:wrapNone/>
          <wp:docPr id="3"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3654" descr="图片1"/>
                  <pic:cNvPicPr>
                    <a:picLocks noChangeAspect="1"/>
                  </pic:cNvPicPr>
                </pic:nvPicPr>
                <pic:blipFill>
                  <a:blip r:embed="rId1">
                    <a:lum bright="69995"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CCE8CF"/>
      </w:rPr>
      <w:drawing>
        <wp:anchor distT="0" distB="0" distL="114300" distR="114300" simplePos="0" relativeHeight="251661312" behindDoc="1" locked="0" layoutInCell="1" allowOverlap="1">
          <wp:simplePos x="0" y="0"/>
          <wp:positionH relativeFrom="margin">
            <wp:posOffset>4001770</wp:posOffset>
          </wp:positionH>
          <wp:positionV relativeFrom="margin">
            <wp:posOffset>2385695</wp:posOffset>
          </wp:positionV>
          <wp:extent cx="1976755" cy="315595"/>
          <wp:effectExtent l="652780" t="0" r="669925" b="0"/>
          <wp:wrapNone/>
          <wp:docPr id="1"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片1"/>
                  <pic:cNvPicPr>
                    <a:picLocks noChangeAspect="1"/>
                  </pic:cNvPicPr>
                </pic:nvPicPr>
                <pic:blipFill>
                  <a:blip r:embed="rId1">
                    <a:lum bright="69995" contrast="-70001"/>
                  </a:blip>
                  <a:stretch>
                    <a:fillRect/>
                  </a:stretch>
                </pic:blipFill>
                <pic:spPr>
                  <a:xfrm rot="-2700000">
                    <a:off x="0" y="0"/>
                    <a:ext cx="1976755" cy="315595"/>
                  </a:xfrm>
                  <a:prstGeom prst="rect">
                    <a:avLst/>
                  </a:prstGeom>
                  <a:noFill/>
                  <a:ln>
                    <a:noFill/>
                  </a:ln>
                </pic:spPr>
              </pic:pic>
            </a:graphicData>
          </a:graphic>
        </wp:anchor>
      </w:drawing>
    </w:r>
    <w:r>
      <mc:AlternateContent>
        <mc:Choice Requires="wps">
          <w:drawing>
            <wp:anchor distT="0" distB="0" distL="114300" distR="114300" simplePos="0" relativeHeight="251662336" behindDoc="0" locked="0" layoutInCell="0" allowOverlap="1">
              <wp:simplePos x="0" y="0"/>
              <wp:positionH relativeFrom="page">
                <wp:posOffset>838835</wp:posOffset>
              </wp:positionH>
              <wp:positionV relativeFrom="page">
                <wp:posOffset>776605</wp:posOffset>
              </wp:positionV>
              <wp:extent cx="6045200"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6045200" cy="6350"/>
                      </a:xfrm>
                      <a:custGeom>
                        <a:avLst/>
                        <a:gdLst/>
                        <a:ahLst/>
                        <a:cxnLst/>
                        <a:pathLst>
                          <a:path w="9520" h="10">
                            <a:moveTo>
                              <a:pt x="0" y="0"/>
                            </a:moveTo>
                            <a:lnTo>
                              <a:pt x="9519" y="0"/>
                            </a:lnTo>
                            <a:lnTo>
                              <a:pt x="9519"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6.05pt;margin-top:61.15pt;height:0.5pt;width:476pt;mso-position-horizontal-relative:page;mso-position-vertical-relative:page;z-index:251662336;mso-width-relative:page;mso-height-relative:page;" fillcolor="#000000" filled="t" stroked="f" coordsize="9520,10" o:allowincell="f" o:gfxdata="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2VM4XXAAAADAEAAA8AAAAAAAAAAQAg&#10;AAAAIgAAAGRycy9kb3ducmV2LnhtbFBLAQIUABQAAAAIAIdO4kBdZ1nPDwIAAHkEAAAOAAAAAAAA&#10;AAEAIAAAACYBAABkcnMvZTJvRG9jLnhtbFBLBQYAAAAABgAGAFkBAACnBQAAAAA=&#10;" path="m0,0l9519,0,9519,9,0,9,0,0xe">
              <v:fill on="t" focussize="0,0"/>
              <v:stroke on="f"/>
              <v:imagedata o:title=""/>
              <o:lock v:ext="edit" aspectratio="f"/>
            </v:shape>
          </w:pict>
        </mc:Fallback>
      </mc:AlternateContent>
    </w:r>
    <w:r>
      <w:rPr>
        <w:position w:val="-7"/>
      </w:rPr>
      <w:drawing>
        <wp:inline distT="0" distB="0" distL="0" distR="0">
          <wp:extent cx="1452245" cy="223520"/>
          <wp:effectExtent l="0" t="0" r="14605" b="5080"/>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2"/>
                  <a:stretch>
                    <a:fillRect/>
                  </a:stretch>
                </pic:blipFill>
                <pic:spPr>
                  <a:xfrm>
                    <a:off x="0" y="0"/>
                    <a:ext cx="1452372" cy="2240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049B1"/>
    <w:rsid w:val="00AD7338"/>
    <w:rsid w:val="014A102B"/>
    <w:rsid w:val="02232F51"/>
    <w:rsid w:val="0F0A5EF6"/>
    <w:rsid w:val="132F62D2"/>
    <w:rsid w:val="151A11AA"/>
    <w:rsid w:val="18095344"/>
    <w:rsid w:val="180F7009"/>
    <w:rsid w:val="19C06428"/>
    <w:rsid w:val="1AE94FB9"/>
    <w:rsid w:val="1CCB0E1A"/>
    <w:rsid w:val="1D0E51AB"/>
    <w:rsid w:val="1E285DF8"/>
    <w:rsid w:val="2133559C"/>
    <w:rsid w:val="2331574F"/>
    <w:rsid w:val="24341D04"/>
    <w:rsid w:val="27F60D15"/>
    <w:rsid w:val="299407E6"/>
    <w:rsid w:val="2A9A62D0"/>
    <w:rsid w:val="2E9A064C"/>
    <w:rsid w:val="2F5E78CC"/>
    <w:rsid w:val="351049B1"/>
    <w:rsid w:val="35A255CF"/>
    <w:rsid w:val="3B912DD7"/>
    <w:rsid w:val="3C9F4B00"/>
    <w:rsid w:val="3DF15DAF"/>
    <w:rsid w:val="406E7B8B"/>
    <w:rsid w:val="411918A4"/>
    <w:rsid w:val="43561D06"/>
    <w:rsid w:val="4565155C"/>
    <w:rsid w:val="4AAE7501"/>
    <w:rsid w:val="4B814C16"/>
    <w:rsid w:val="52C35B14"/>
    <w:rsid w:val="530879CB"/>
    <w:rsid w:val="53CB2ED2"/>
    <w:rsid w:val="547A66A6"/>
    <w:rsid w:val="55664241"/>
    <w:rsid w:val="56CB4F97"/>
    <w:rsid w:val="59091DA7"/>
    <w:rsid w:val="5B5C08B4"/>
    <w:rsid w:val="5D23054D"/>
    <w:rsid w:val="5E70507C"/>
    <w:rsid w:val="6477050C"/>
    <w:rsid w:val="6CB43503"/>
    <w:rsid w:val="6F6944D6"/>
    <w:rsid w:val="70340294"/>
    <w:rsid w:val="72CC236B"/>
    <w:rsid w:val="72FC49FE"/>
    <w:rsid w:val="78D2661A"/>
    <w:rsid w:val="7D05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line="360" w:lineRule="auto"/>
      <w:jc w:val="center"/>
      <w:outlineLvl w:val="0"/>
    </w:pPr>
    <w:rPr>
      <w:b/>
      <w:bCs/>
      <w:kern w:val="44"/>
      <w:sz w:val="30"/>
      <w:szCs w:val="44"/>
    </w:rPr>
  </w:style>
  <w:style w:type="paragraph" w:styleId="3">
    <w:name w:val="heading 2"/>
    <w:basedOn w:val="1"/>
    <w:next w:val="1"/>
    <w:link w:val="11"/>
    <w:qFormat/>
    <w:uiPriority w:val="1"/>
    <w:pPr>
      <w:spacing w:line="360" w:lineRule="auto"/>
      <w:jc w:val="center"/>
      <w:outlineLvl w:val="1"/>
    </w:pPr>
    <w:rPr>
      <w:rFonts w:ascii="宋体" w:hAnsi="宋体" w:cs="宋体"/>
      <w:b/>
      <w:kern w:val="0"/>
      <w:sz w:val="28"/>
      <w:szCs w:val="32"/>
      <w:lang w:eastAsia="en-US"/>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99"/>
    <w:pPr>
      <w:spacing w:after="120"/>
    </w:pPr>
    <w:rPr>
      <w:rFonts w:ascii="Times New Roman" w:hAnsi="Times New Roman"/>
      <w:szCs w:val="24"/>
    </w:rPr>
  </w:style>
  <w:style w:type="paragraph" w:styleId="5">
    <w:name w:val="Body Text 2"/>
    <w:basedOn w:val="1"/>
    <w:qFormat/>
    <w:uiPriority w:val="0"/>
    <w:pPr>
      <w:spacing w:line="340" w:lineRule="exact"/>
    </w:pPr>
    <w:rPr>
      <w:rFonts w:ascii="仿宋_GB2312" w:eastAsia="仿宋_GB2312"/>
      <w:sz w:val="28"/>
    </w:rPr>
  </w:style>
  <w:style w:type="table" w:styleId="7">
    <w:name w:val="Table Grid"/>
    <w:unhideWhenUsed/>
    <w:qFormat/>
    <w:uiPriority w:val="9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link w:val="2"/>
    <w:qFormat/>
    <w:uiPriority w:val="0"/>
    <w:rPr>
      <w:b/>
      <w:bCs/>
      <w:kern w:val="44"/>
      <w:sz w:val="30"/>
      <w:szCs w:val="44"/>
    </w:rPr>
  </w:style>
  <w:style w:type="paragraph" w:styleId="10">
    <w:name w:val="List Paragraph"/>
    <w:basedOn w:val="1"/>
    <w:qFormat/>
    <w:uiPriority w:val="34"/>
    <w:pPr>
      <w:ind w:firstLine="420" w:firstLineChars="200"/>
    </w:pPr>
  </w:style>
  <w:style w:type="character" w:customStyle="1" w:styleId="11">
    <w:name w:val="标题 2 Char"/>
    <w:link w:val="3"/>
    <w:qFormat/>
    <w:uiPriority w:val="0"/>
    <w:rPr>
      <w:rFonts w:ascii="宋体" w:hAnsi="宋体" w:cs="宋体"/>
      <w:b/>
      <w:kern w:val="0"/>
      <w:sz w:val="28"/>
      <w:szCs w:val="32"/>
      <w:lang w:eastAsia="en-US"/>
    </w:rPr>
  </w:style>
  <w:style w:type="character" w:customStyle="1" w:styleId="12">
    <w:name w:val="font91"/>
    <w:basedOn w:val="8"/>
    <w:qFormat/>
    <w:uiPriority w:val="0"/>
    <w:rPr>
      <w:rFonts w:hint="eastAsia" w:ascii="仿宋" w:hAnsi="仿宋" w:eastAsia="仿宋" w:cs="仿宋"/>
      <w:color w:val="000000"/>
      <w:sz w:val="24"/>
      <w:szCs w:val="24"/>
      <w:u w:val="none"/>
    </w:rPr>
  </w:style>
  <w:style w:type="character" w:customStyle="1" w:styleId="13">
    <w:name w:val="font101"/>
    <w:basedOn w:val="8"/>
    <w:qFormat/>
    <w:uiPriority w:val="0"/>
    <w:rPr>
      <w:rFonts w:hint="eastAsia" w:ascii="仿宋" w:hAnsi="仿宋" w:eastAsia="仿宋" w:cs="仿宋"/>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2026-02-10T02:53:00Z</dcterms:created>
  <dc:creator>Minute</dc:creator>
  <cp:lastModifiedBy>Minute</cp:lastModifiedBy>
  <dcterms:modified xsi:type="dcterms:W3CDTF">2026-02-10T03:44:11Z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3C8279895DD041F79D139FBCAF305173_11</vt:lpwstr>
  </property>
  <property fmtid="{D5CDD505-2E9C-101B-9397-08002B2CF9AE}" pid="4" name="KSOTemplateDocerSaveRecord">
    <vt:lpwstr>eyJoZGlkIjoiYzEwZmYyMDY4NGY2MTM2YzY1NWNkOTRmYWQ0YWNjYzciLCJ1c2VySWQiOiIzMDk0MDQ5MjkifQ==</vt:lpwstr>
  </property>
</Properties>
</file>