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516C1">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p>
    <w:p w14:paraId="5A38C1F8">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p>
    <w:p w14:paraId="0AEE0E4D">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合同编号：</w:t>
      </w:r>
    </w:p>
    <w:p w14:paraId="68C1C4B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288612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11A999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4BED42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8"/>
          <w:rFonts w:hint="eastAsia"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b w:val="0"/>
          <w:bCs w:val="0"/>
          <w:sz w:val="44"/>
          <w:szCs w:val="44"/>
        </w:rPr>
        <w:t>【</w:t>
      </w:r>
      <w:r>
        <w:rPr>
          <w:rFonts w:hint="eastAsia" w:ascii="方正公文小标宋" w:hAnsi="方正公文小标宋" w:eastAsia="方正公文小标宋" w:cs="方正公文小标宋"/>
          <w:kern w:val="0"/>
          <w:sz w:val="44"/>
          <w:szCs w:val="44"/>
          <w:lang w:eastAsia="zh-CN"/>
        </w:rPr>
        <w:t>金寨县生活污水处理厂及污水管网一体化项目EPC工程项目</w:t>
      </w:r>
      <w:r>
        <w:rPr>
          <w:rStyle w:val="8"/>
          <w:rFonts w:hint="eastAsia" w:ascii="方正公文小标宋" w:hAnsi="方正公文小标宋" w:eastAsia="方正公文小标宋" w:cs="方正公文小标宋"/>
          <w:b w:val="0"/>
          <w:bCs/>
          <w:sz w:val="44"/>
          <w:szCs w:val="44"/>
          <w:lang w:val="en-US" w:eastAsia="zh-CN"/>
        </w:rPr>
        <w:t>】</w:t>
      </w:r>
    </w:p>
    <w:p w14:paraId="755223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8"/>
          <w:rFonts w:hint="default"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kern w:val="0"/>
          <w:sz w:val="44"/>
          <w:szCs w:val="44"/>
          <w:lang w:val="en-US" w:eastAsia="zh-CN"/>
        </w:rPr>
        <w:t>金府花园</w:t>
      </w:r>
      <w:r>
        <w:rPr>
          <w:rFonts w:hint="eastAsia" w:ascii="方正公文小标宋" w:hAnsi="方正公文小标宋" w:eastAsia="方正公文小标宋" w:cs="方正公文小标宋"/>
          <w:kern w:val="0"/>
          <w:sz w:val="44"/>
          <w:szCs w:val="44"/>
          <w:lang w:eastAsia="zh-CN"/>
        </w:rPr>
        <w:t>管网修复专业分包</w:t>
      </w:r>
    </w:p>
    <w:p w14:paraId="19DD6726">
      <w:pPr>
        <w:autoSpaceDE w:val="0"/>
        <w:autoSpaceDN w:val="0"/>
        <w:adjustRightInd w:val="0"/>
        <w:spacing w:line="360" w:lineRule="auto"/>
        <w:ind w:firstLine="8834" w:firstLineChars="2000"/>
        <w:jc w:val="both"/>
        <w:rPr>
          <w:rFonts w:hint="default" w:ascii="Times New Roman" w:hAnsi="Times New Roman" w:cs="Times New Roman"/>
          <w:b/>
          <w:kern w:val="0"/>
          <w:sz w:val="44"/>
          <w:szCs w:val="44"/>
        </w:rPr>
      </w:pPr>
    </w:p>
    <w:p w14:paraId="76FE229E">
      <w:pPr>
        <w:spacing w:line="500" w:lineRule="exact"/>
        <w:rPr>
          <w:rFonts w:hint="default" w:ascii="Times New Roman" w:hAnsi="Times New Roman" w:eastAsia="仿宋" w:cs="Times New Roman"/>
          <w:sz w:val="24"/>
          <w:szCs w:val="24"/>
        </w:rPr>
      </w:pPr>
    </w:p>
    <w:p w14:paraId="5172B0AF">
      <w:pPr>
        <w:spacing w:line="500" w:lineRule="exact"/>
        <w:ind w:firstLine="480" w:firstLineChars="200"/>
        <w:rPr>
          <w:rFonts w:hint="default" w:ascii="Times New Roman" w:hAnsi="Times New Roman" w:eastAsia="仿宋" w:cs="Times New Roman"/>
          <w:sz w:val="24"/>
          <w:szCs w:val="24"/>
        </w:rPr>
      </w:pPr>
    </w:p>
    <w:p w14:paraId="6D729EDD">
      <w:pPr>
        <w:spacing w:line="500" w:lineRule="exact"/>
        <w:ind w:firstLine="480" w:firstLineChars="200"/>
        <w:rPr>
          <w:rFonts w:hint="default" w:ascii="Times New Roman" w:hAnsi="Times New Roman" w:eastAsia="仿宋" w:cs="Times New Roman"/>
          <w:sz w:val="24"/>
          <w:szCs w:val="24"/>
        </w:rPr>
      </w:pPr>
    </w:p>
    <w:p w14:paraId="3C882461">
      <w:pPr>
        <w:spacing w:line="500" w:lineRule="exact"/>
        <w:ind w:firstLine="480" w:firstLineChars="200"/>
        <w:rPr>
          <w:rFonts w:hint="default" w:ascii="Times New Roman" w:hAnsi="Times New Roman" w:eastAsia="仿宋" w:cs="Times New Roman"/>
          <w:sz w:val="24"/>
          <w:szCs w:val="24"/>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8"/>
        <w:gridCol w:w="4992"/>
      </w:tblGrid>
      <w:tr w14:paraId="5B43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46C8FEF">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 xml:space="preserve">发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w:t>
            </w:r>
            <w:r>
              <w:rPr>
                <w:rFonts w:hint="default" w:ascii="Times New Roman" w:hAnsi="Times New Roman" w:eastAsia="仿宋_GB2312" w:cs="Times New Roman"/>
                <w:sz w:val="32"/>
                <w:szCs w:val="32"/>
                <w:lang w:val="en-US" w:eastAsia="zh-CN"/>
              </w:rPr>
              <w:t>甲</w:t>
            </w:r>
            <w:r>
              <w:rPr>
                <w:rFonts w:hint="default" w:ascii="Times New Roman" w:hAnsi="Times New Roman" w:eastAsia="仿宋_GB2312" w:cs="Times New Roman"/>
                <w:sz w:val="32"/>
                <w:szCs w:val="32"/>
              </w:rPr>
              <w:t>方）:</w:t>
            </w:r>
          </w:p>
        </w:tc>
        <w:tc>
          <w:tcPr>
            <w:tcW w:w="4992" w:type="dxa"/>
            <w:noWrap w:val="0"/>
            <w:vAlign w:val="top"/>
          </w:tcPr>
          <w:p w14:paraId="6EAFCB6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溧阳水务市政工程有限公司</w:t>
            </w:r>
            <w:r>
              <w:rPr>
                <w:rFonts w:hint="default" w:ascii="Times New Roman" w:hAnsi="Times New Roman" w:eastAsia="仿宋_GB2312" w:cs="Times New Roman"/>
                <w:sz w:val="32"/>
                <w:szCs w:val="32"/>
                <w:u w:val="none"/>
                <w:lang w:val="en-US" w:eastAsia="zh-CN"/>
              </w:rPr>
              <w:t>】</w:t>
            </w:r>
          </w:p>
        </w:tc>
      </w:tr>
      <w:tr w14:paraId="1D2E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92CA2AA">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92" w:type="dxa"/>
            <w:noWrap w:val="0"/>
            <w:vAlign w:val="top"/>
          </w:tcPr>
          <w:p w14:paraId="3D23F839">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【91320481569106264P】</w:t>
            </w:r>
          </w:p>
        </w:tc>
      </w:tr>
      <w:tr w14:paraId="4329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40BD806">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承</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方（乙方）:</w:t>
            </w:r>
          </w:p>
        </w:tc>
        <w:tc>
          <w:tcPr>
            <w:tcW w:w="4992" w:type="dxa"/>
            <w:noWrap w:val="0"/>
            <w:vAlign w:val="top"/>
          </w:tcPr>
          <w:p w14:paraId="64443E6A">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安徽和盛建设集团有限公司</w:t>
            </w:r>
            <w:r>
              <w:rPr>
                <w:rFonts w:hint="default" w:ascii="Times New Roman" w:hAnsi="Times New Roman" w:eastAsia="仿宋_GB2312" w:cs="Times New Roman"/>
                <w:sz w:val="32"/>
                <w:szCs w:val="32"/>
                <w:u w:val="none"/>
                <w:lang w:val="en-US" w:eastAsia="zh-CN"/>
              </w:rPr>
              <w:t>】</w:t>
            </w:r>
          </w:p>
        </w:tc>
      </w:tr>
      <w:tr w14:paraId="7DF7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002E4470">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92" w:type="dxa"/>
            <w:noWrap w:val="0"/>
            <w:vAlign w:val="top"/>
          </w:tcPr>
          <w:p w14:paraId="4637B654">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913415245986783849</w:t>
            </w:r>
            <w:r>
              <w:rPr>
                <w:rFonts w:hint="default" w:ascii="Times New Roman" w:hAnsi="Times New Roman" w:eastAsia="仿宋_GB2312" w:cs="Times New Roman"/>
                <w:sz w:val="32"/>
                <w:szCs w:val="32"/>
                <w:u w:val="none"/>
                <w:lang w:val="en-US" w:eastAsia="zh-CN"/>
              </w:rPr>
              <w:t>】</w:t>
            </w:r>
          </w:p>
        </w:tc>
      </w:tr>
      <w:tr w14:paraId="3FF6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9ED1161">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签</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订</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期:</w:t>
            </w:r>
          </w:p>
        </w:tc>
        <w:tc>
          <w:tcPr>
            <w:tcW w:w="4992" w:type="dxa"/>
            <w:noWrap w:val="0"/>
            <w:vAlign w:val="top"/>
          </w:tcPr>
          <w:p w14:paraId="0CA2955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w:t>
            </w:r>
          </w:p>
        </w:tc>
      </w:tr>
    </w:tbl>
    <w:p w14:paraId="38873429">
      <w:pPr>
        <w:autoSpaceDE w:val="0"/>
        <w:autoSpaceDN w:val="0"/>
        <w:adjustRightInd w:val="0"/>
        <w:spacing w:line="360" w:lineRule="auto"/>
        <w:jc w:val="both"/>
        <w:rPr>
          <w:rFonts w:hint="default" w:ascii="Times New Roman" w:hAnsi="Times New Roman" w:eastAsia="方正大标宋简体" w:cs="Times New Roman"/>
          <w:b w:val="0"/>
          <w:bCs w:val="0"/>
          <w:kern w:val="0"/>
          <w:sz w:val="44"/>
          <w:szCs w:val="44"/>
          <w:lang w:val="en-US" w:eastAsia="zh-CN"/>
        </w:rPr>
      </w:pPr>
    </w:p>
    <w:p w14:paraId="2F4CEC90">
      <w:pPr>
        <w:autoSpaceDE w:val="0"/>
        <w:autoSpaceDN w:val="0"/>
        <w:adjustRightInd w:val="0"/>
        <w:spacing w:line="360" w:lineRule="auto"/>
        <w:jc w:val="center"/>
        <w:rPr>
          <w:rFonts w:hint="default" w:ascii="Times New Roman" w:hAnsi="Times New Roman" w:eastAsia="方正大标宋简体" w:cs="Times New Roman"/>
          <w:b w:val="0"/>
          <w:bCs w:val="0"/>
          <w:kern w:val="0"/>
          <w:sz w:val="44"/>
          <w:szCs w:val="44"/>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CAC06A8">
      <w:pPr>
        <w:autoSpaceDE w:val="0"/>
        <w:autoSpaceDN w:val="0"/>
        <w:adjustRightInd w:val="0"/>
        <w:spacing w:line="360" w:lineRule="auto"/>
        <w:jc w:val="center"/>
        <w:rPr>
          <w:rFonts w:hint="default" w:ascii="Times New Roman" w:hAnsi="Times New Roman" w:eastAsia="方正大标宋简体" w:cs="Times New Roman"/>
          <w:b/>
          <w:kern w:val="0"/>
          <w:sz w:val="44"/>
          <w:szCs w:val="44"/>
        </w:rPr>
      </w:pPr>
      <w:r>
        <w:rPr>
          <w:rFonts w:hint="default" w:ascii="Times New Roman" w:hAnsi="Times New Roman" w:eastAsia="方正大标宋简体" w:cs="Times New Roman"/>
          <w:b w:val="0"/>
          <w:bCs w:val="0"/>
          <w:kern w:val="0"/>
          <w:sz w:val="44"/>
          <w:szCs w:val="44"/>
          <w:lang w:val="en-US" w:eastAsia="zh-CN"/>
        </w:rPr>
        <w:t>工程专业分包</w:t>
      </w:r>
      <w:r>
        <w:rPr>
          <w:rFonts w:hint="default" w:ascii="Times New Roman" w:hAnsi="Times New Roman" w:eastAsia="方正大标宋简体" w:cs="Times New Roman"/>
          <w:b w:val="0"/>
          <w:bCs/>
          <w:kern w:val="0"/>
          <w:sz w:val="44"/>
          <w:szCs w:val="44"/>
        </w:rPr>
        <w:t>合同</w:t>
      </w:r>
    </w:p>
    <w:p w14:paraId="26F5830D">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甲方：【</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lang w:val="en-US" w:eastAsia="zh-CN"/>
        </w:rPr>
        <w:t>】</w:t>
      </w:r>
    </w:p>
    <w:p w14:paraId="109447C1">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w:t>
      </w:r>
      <w:r>
        <w:rPr>
          <w:rFonts w:hint="eastAsia" w:ascii="Times New Roman" w:hAnsi="Times New Roman" w:eastAsia="仿宋_GB2312" w:cs="Times New Roman"/>
          <w:sz w:val="28"/>
          <w:szCs w:val="28"/>
          <w:lang w:val="en-US" w:eastAsia="zh-CN"/>
        </w:rPr>
        <w:t>安徽和盛建设集团有限公司</w:t>
      </w:r>
      <w:r>
        <w:rPr>
          <w:rFonts w:hint="default" w:ascii="Times New Roman" w:hAnsi="Times New Roman" w:eastAsia="仿宋_GB2312" w:cs="Times New Roman"/>
          <w:sz w:val="28"/>
          <w:szCs w:val="28"/>
          <w:lang w:val="en-US" w:eastAsia="zh-CN"/>
        </w:rPr>
        <w:t>】</w:t>
      </w:r>
    </w:p>
    <w:p w14:paraId="100A691C">
      <w:pPr>
        <w:spacing w:line="460" w:lineRule="exact"/>
        <w:ind w:firstLine="840" w:firstLineChars="300"/>
        <w:jc w:val="left"/>
        <w:rPr>
          <w:rFonts w:hint="default" w:ascii="Times New Roman" w:hAnsi="Times New Roman" w:eastAsia="仿宋" w:cs="Times New Roman"/>
          <w:sz w:val="24"/>
          <w:szCs w:val="24"/>
        </w:rPr>
      </w:pPr>
      <w:r>
        <w:rPr>
          <w:rFonts w:hint="default" w:ascii="Times New Roman" w:hAnsi="Times New Roman" w:eastAsia="仿宋_GB2312" w:cs="Times New Roman"/>
          <w:sz w:val="28"/>
          <w:szCs w:val="28"/>
        </w:rPr>
        <w:t>甲、乙依照《中华人民共和国民法典（合同编）》、《中华人民共和国建筑法》及其他相关法律法规规定，甲乙双方就【</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金府花园</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相关事宜，经平等自愿、友好协商，达成一致如下：</w:t>
      </w:r>
    </w:p>
    <w:p w14:paraId="3C31AB60">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一、工程概况</w:t>
      </w:r>
    </w:p>
    <w:p w14:paraId="037B0C96">
      <w:pPr>
        <w:keepNext w:val="0"/>
        <w:keepLines w:val="0"/>
        <w:pageBreakBefore w:val="0"/>
        <w:widowControl w:val="0"/>
        <w:kinsoku/>
        <w:wordWrap/>
        <w:overflowPunct/>
        <w:topLinePunct w:val="0"/>
        <w:bidi w:val="0"/>
        <w:snapToGrid/>
        <w:spacing w:line="480" w:lineRule="exact"/>
        <w:ind w:left="2239" w:leftChars="266" w:right="0" w:rightChars="0" w:hanging="1680" w:hangingChars="6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工程名称：【</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金府花园</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782CA54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工程地点：【</w:t>
      </w:r>
      <w:r>
        <w:rPr>
          <w:rFonts w:hint="eastAsia" w:ascii="Times New Roman" w:hAnsi="Times New Roman" w:eastAsia="仿宋_GB2312" w:cs="Times New Roman"/>
          <w:sz w:val="28"/>
          <w:szCs w:val="28"/>
          <w:lang w:val="en-US" w:eastAsia="zh-CN"/>
        </w:rPr>
        <w:t>安徽省六安市金寨县</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2198FFBF">
      <w:pPr>
        <w:keepNext w:val="0"/>
        <w:keepLines w:val="0"/>
        <w:pageBreakBefore w:val="0"/>
        <w:widowControl w:val="0"/>
        <w:kinsoku/>
        <w:wordWrap/>
        <w:overflowPunct/>
        <w:topLinePunct w:val="0"/>
        <w:bidi w:val="0"/>
        <w:snapToGrid/>
        <w:spacing w:line="480" w:lineRule="exact"/>
        <w:ind w:left="2239" w:leftChars="266" w:right="0" w:hanging="1680" w:hangingChars="6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工程内容：【现有污水管道及附属设施修复、新建污水管网及附属设施材料采购及施工等】</w:t>
      </w:r>
      <w:r>
        <w:rPr>
          <w:rFonts w:hint="default" w:ascii="Times New Roman" w:hAnsi="Times New Roman" w:eastAsia="仿宋_GB2312" w:cs="Times New Roman"/>
          <w:sz w:val="28"/>
          <w:szCs w:val="28"/>
          <w:lang w:eastAsia="zh-CN"/>
        </w:rPr>
        <w:t>；</w:t>
      </w:r>
    </w:p>
    <w:p w14:paraId="74CABA7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承包方式：【</w:t>
      </w:r>
      <w:r>
        <w:rPr>
          <w:rFonts w:hint="default" w:ascii="Times New Roman" w:hAnsi="Times New Roman" w:eastAsia="仿宋_GB2312" w:cs="Times New Roman"/>
          <w:sz w:val="28"/>
          <w:szCs w:val="28"/>
          <w:lang w:val="en-US" w:eastAsia="zh-CN"/>
        </w:rPr>
        <w:t>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2B6D5040">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5.合同形式：【固定综合单价】。</w:t>
      </w:r>
    </w:p>
    <w:p w14:paraId="58D74FBC">
      <w:pPr>
        <w:keepNext w:val="0"/>
        <w:keepLines w:val="0"/>
        <w:pageBreakBefore w:val="0"/>
        <w:widowControl w:val="0"/>
        <w:kinsoku/>
        <w:wordWrap/>
        <w:overflowPunct/>
        <w:topLinePunct w:val="0"/>
        <w:bidi w:val="0"/>
        <w:snapToGrid/>
        <w:spacing w:line="480" w:lineRule="exact"/>
        <w:ind w:right="0"/>
        <w:textAlignment w:val="auto"/>
        <w:rPr>
          <w:rFonts w:hint="eastAsia" w:ascii="仿宋_GB2312" w:hAnsi="仿宋_GB2312" w:eastAsia="仿宋_GB2312" w:cs="仿宋_GB2312"/>
          <w:b w:val="0"/>
          <w:bCs w:val="0"/>
          <w:sz w:val="28"/>
          <w:szCs w:val="28"/>
          <w:lang w:val="en-US" w:eastAsia="zh-CN"/>
        </w:rPr>
      </w:pPr>
      <w:r>
        <w:rPr>
          <w:rFonts w:hint="default" w:ascii="Times New Roman" w:hAnsi="Times New Roman" w:eastAsia="黑体" w:cs="Times New Roman"/>
          <w:sz w:val="28"/>
          <w:szCs w:val="28"/>
        </w:rPr>
        <w:t>二、合同价款及材料要求，详见下表</w:t>
      </w:r>
      <w:r>
        <w:rPr>
          <w:rFonts w:hint="eastAsia" w:ascii="仿宋_GB2312" w:hAnsi="仿宋_GB2312" w:eastAsia="仿宋_GB2312" w:cs="仿宋_GB2312"/>
          <w:b w:val="0"/>
          <w:bCs w:val="0"/>
          <w:sz w:val="28"/>
          <w:szCs w:val="28"/>
          <w:lang w:val="en-US" w:eastAsia="zh-CN"/>
        </w:rPr>
        <w:t>(合同工程量清单见附件)</w:t>
      </w:r>
    </w:p>
    <w:tbl>
      <w:tblPr>
        <w:tblStyle w:val="5"/>
        <w:tblW w:w="5552"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04"/>
        <w:gridCol w:w="956"/>
        <w:gridCol w:w="1645"/>
        <w:gridCol w:w="685"/>
        <w:gridCol w:w="685"/>
        <w:gridCol w:w="975"/>
        <w:gridCol w:w="975"/>
        <w:gridCol w:w="975"/>
        <w:gridCol w:w="975"/>
        <w:gridCol w:w="1088"/>
      </w:tblGrid>
      <w:tr w14:paraId="719B0F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35" w:hRule="atLeast"/>
          <w:jc w:val="center"/>
        </w:trPr>
        <w:tc>
          <w:tcPr>
            <w:tcW w:w="266" w:type="pct"/>
            <w:noWrap/>
            <w:vAlign w:val="center"/>
          </w:tcPr>
          <w:p w14:paraId="74E0A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序号</w:t>
            </w:r>
          </w:p>
        </w:tc>
        <w:tc>
          <w:tcPr>
            <w:tcW w:w="505" w:type="pct"/>
            <w:noWrap w:val="0"/>
            <w:vAlign w:val="center"/>
          </w:tcPr>
          <w:p w14:paraId="00AD7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w:t>
            </w:r>
          </w:p>
          <w:p w14:paraId="77D99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名称</w:t>
            </w:r>
          </w:p>
        </w:tc>
        <w:tc>
          <w:tcPr>
            <w:tcW w:w="869" w:type="pct"/>
            <w:noWrap w:val="0"/>
            <w:vAlign w:val="center"/>
          </w:tcPr>
          <w:p w14:paraId="616A1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项目特征描述</w:t>
            </w:r>
          </w:p>
        </w:tc>
        <w:tc>
          <w:tcPr>
            <w:tcW w:w="361" w:type="pct"/>
            <w:noWrap w:val="0"/>
            <w:vAlign w:val="center"/>
          </w:tcPr>
          <w:p w14:paraId="7DCE4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计量</w:t>
            </w:r>
          </w:p>
          <w:p w14:paraId="67C85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单位</w:t>
            </w:r>
          </w:p>
        </w:tc>
        <w:tc>
          <w:tcPr>
            <w:tcW w:w="361" w:type="pct"/>
            <w:noWrap w:val="0"/>
            <w:vAlign w:val="center"/>
          </w:tcPr>
          <w:p w14:paraId="4A3FD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拟定</w:t>
            </w:r>
          </w:p>
          <w:p w14:paraId="79390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工程量</w:t>
            </w:r>
          </w:p>
        </w:tc>
        <w:tc>
          <w:tcPr>
            <w:tcW w:w="515" w:type="pct"/>
            <w:noWrap w:val="0"/>
            <w:vAlign w:val="center"/>
          </w:tcPr>
          <w:p w14:paraId="2F056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不含税单价</w:t>
            </w:r>
          </w:p>
          <w:p w14:paraId="72B56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29240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14:paraId="32F3E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单价</w:t>
            </w:r>
          </w:p>
          <w:p w14:paraId="69477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5C38E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w:t>
            </w:r>
          </w:p>
          <w:p w14:paraId="65044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14:paraId="24046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41319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14:paraId="02007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14:paraId="23B4F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74" w:type="pct"/>
            <w:noWrap w:val="0"/>
            <w:vAlign w:val="center"/>
          </w:tcPr>
          <w:p w14:paraId="0F2DC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备注</w:t>
            </w:r>
          </w:p>
        </w:tc>
      </w:tr>
      <w:tr w14:paraId="5785FB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0" w:hRule="atLeast"/>
          <w:jc w:val="center"/>
        </w:trPr>
        <w:tc>
          <w:tcPr>
            <w:tcW w:w="266" w:type="pct"/>
            <w:noWrap/>
            <w:vAlign w:val="center"/>
          </w:tcPr>
          <w:p w14:paraId="06255D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505" w:type="pct"/>
            <w:noWrap/>
            <w:vAlign w:val="center"/>
          </w:tcPr>
          <w:p w14:paraId="0692E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kern w:val="0"/>
                <w:sz w:val="22"/>
                <w:szCs w:val="22"/>
                <w:u w:val="none"/>
                <w:lang w:val="en-US" w:eastAsia="zh-CN" w:bidi="ar"/>
              </w:rPr>
            </w:pPr>
            <w:r>
              <w:rPr>
                <w:rStyle w:val="10"/>
                <w:rFonts w:hint="eastAsia" w:ascii="黑体" w:hAnsi="黑体" w:eastAsia="黑体" w:cs="黑体"/>
                <w:sz w:val="13"/>
                <w:szCs w:val="13"/>
                <w:lang w:val="en-US" w:eastAsia="zh-CN" w:bidi="ar"/>
              </w:rPr>
              <w:t>金府花园管网修复专业分包</w:t>
            </w:r>
          </w:p>
        </w:tc>
        <w:tc>
          <w:tcPr>
            <w:tcW w:w="869" w:type="pct"/>
            <w:noWrap/>
            <w:vAlign w:val="center"/>
          </w:tcPr>
          <w:p w14:paraId="29F841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Times New Roman" w:hAnsi="Times New Roman" w:cs="Times New Roman"/>
                <w:b w:val="0"/>
                <w:bCs w:val="0"/>
                <w:i w:val="0"/>
                <w:iCs w:val="0"/>
                <w:color w:val="000000"/>
                <w:sz w:val="18"/>
                <w:szCs w:val="18"/>
                <w:u w:val="none"/>
                <w:lang w:val="en-US" w:eastAsia="zh-CN"/>
              </w:rPr>
              <w:t>详见附件工程量清单</w:t>
            </w:r>
          </w:p>
        </w:tc>
        <w:tc>
          <w:tcPr>
            <w:tcW w:w="361" w:type="pct"/>
            <w:noWrap w:val="0"/>
            <w:vAlign w:val="center"/>
          </w:tcPr>
          <w:p w14:paraId="2CD5F8BA">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项</w:t>
            </w:r>
          </w:p>
        </w:tc>
        <w:tc>
          <w:tcPr>
            <w:tcW w:w="361" w:type="pct"/>
            <w:noWrap/>
            <w:vAlign w:val="center"/>
          </w:tcPr>
          <w:p w14:paraId="7946DEE3">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975" w:type="dxa"/>
            <w:noWrap/>
            <w:vAlign w:val="center"/>
          </w:tcPr>
          <w:p w14:paraId="7D23BE12">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1,390,688.58</w:t>
            </w:r>
          </w:p>
        </w:tc>
        <w:tc>
          <w:tcPr>
            <w:tcW w:w="975" w:type="dxa"/>
            <w:noWrap/>
            <w:vAlign w:val="center"/>
          </w:tcPr>
          <w:p w14:paraId="5A299781">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1,515,850.55</w:t>
            </w:r>
          </w:p>
        </w:tc>
        <w:tc>
          <w:tcPr>
            <w:tcW w:w="515" w:type="pct"/>
            <w:noWrap w:val="0"/>
            <w:vAlign w:val="center"/>
          </w:tcPr>
          <w:p w14:paraId="47B5088E">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1,390,688.58</w:t>
            </w:r>
          </w:p>
        </w:tc>
        <w:tc>
          <w:tcPr>
            <w:tcW w:w="515" w:type="pct"/>
            <w:noWrap w:val="0"/>
            <w:vAlign w:val="center"/>
          </w:tcPr>
          <w:p w14:paraId="1A583720">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1,515,850.55</w:t>
            </w:r>
          </w:p>
        </w:tc>
        <w:tc>
          <w:tcPr>
            <w:tcW w:w="574" w:type="pct"/>
            <w:noWrap w:val="0"/>
            <w:vAlign w:val="center"/>
          </w:tcPr>
          <w:p w14:paraId="4B92F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r>
              <w:rPr>
                <w:rFonts w:hint="eastAsia" w:ascii="Times New Roman" w:hAnsi="Times New Roman" w:cs="Times New Roman"/>
                <w:b w:val="0"/>
                <w:bCs w:val="0"/>
                <w:i w:val="0"/>
                <w:iCs w:val="0"/>
                <w:color w:val="000000"/>
                <w:sz w:val="18"/>
                <w:szCs w:val="18"/>
                <w:u w:val="none"/>
                <w:lang w:val="en-US" w:eastAsia="zh-CN"/>
              </w:rPr>
              <w:t>详见附件清单</w:t>
            </w:r>
          </w:p>
        </w:tc>
      </w:tr>
      <w:tr w14:paraId="498FC5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64" w:hRule="atLeast"/>
          <w:jc w:val="center"/>
        </w:trPr>
        <w:tc>
          <w:tcPr>
            <w:tcW w:w="3394" w:type="pct"/>
            <w:gridSpan w:val="7"/>
            <w:noWrap/>
            <w:vAlign w:val="center"/>
          </w:tcPr>
          <w:p w14:paraId="039E93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975" w:type="dxa"/>
            <w:shd w:val="clear" w:color="auto" w:fill="auto"/>
            <w:noWrap w:val="0"/>
            <w:vAlign w:val="center"/>
          </w:tcPr>
          <w:p w14:paraId="7728B7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1,390,688.58</w:t>
            </w:r>
          </w:p>
        </w:tc>
        <w:tc>
          <w:tcPr>
            <w:tcW w:w="975" w:type="dxa"/>
            <w:shd w:val="clear" w:color="auto" w:fill="auto"/>
            <w:noWrap w:val="0"/>
            <w:vAlign w:val="center"/>
          </w:tcPr>
          <w:p w14:paraId="1FFD65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1,515,850.55</w:t>
            </w:r>
          </w:p>
        </w:tc>
        <w:tc>
          <w:tcPr>
            <w:tcW w:w="574" w:type="pct"/>
            <w:noWrap w:val="0"/>
            <w:vAlign w:val="center"/>
          </w:tcPr>
          <w:p w14:paraId="15203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20"/>
                <w:szCs w:val="20"/>
                <w:u w:val="none"/>
                <w:lang w:val="en-US" w:eastAsia="zh-CN"/>
              </w:rPr>
            </w:pPr>
            <w:r>
              <w:rPr>
                <w:rFonts w:hint="default" w:ascii="Times New Roman" w:hAnsi="Times New Roman"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增值税专用发票</w:t>
            </w:r>
          </w:p>
        </w:tc>
      </w:tr>
      <w:tr w14:paraId="39EB83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7" w:hRule="atLeast"/>
          <w:jc w:val="center"/>
        </w:trPr>
        <w:tc>
          <w:tcPr>
            <w:tcW w:w="5000" w:type="pct"/>
            <w:gridSpan w:val="10"/>
            <w:noWrap/>
            <w:vAlign w:val="center"/>
          </w:tcPr>
          <w:p w14:paraId="73A4C71C">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i w:val="0"/>
                <w:iCs w:val="0"/>
                <w:color w:val="000000"/>
                <w:kern w:val="0"/>
                <w:szCs w:val="22"/>
                <w:u w:val="none"/>
                <w:lang w:val="en-US" w:eastAsia="zh-CN" w:bidi="ar"/>
              </w:rPr>
            </w:pPr>
            <w:r>
              <w:rPr>
                <w:rFonts w:hint="eastAsia" w:ascii="黑体" w:hAnsi="黑体" w:eastAsia="黑体" w:cs="黑体"/>
                <w:lang w:val="en-US" w:eastAsia="zh-CN"/>
              </w:rPr>
              <w:t>备注： 1.以上价格包括但不限于完成上述工程的人工、材料、机械、管理费、利润、规费、9%增值税及相关安全文明施工费、临时设施费、赶工措施费、二次搬运费等措施费，结算价格不作调整；2.最终结算工程量以设计图纸工程量为结算依据，且不超过实际作业量。</w:t>
            </w:r>
          </w:p>
        </w:tc>
      </w:tr>
    </w:tbl>
    <w:p w14:paraId="0C22B7EE">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三、合同工期</w:t>
      </w:r>
    </w:p>
    <w:p w14:paraId="3971A165">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计划开工日期：【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01</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19</w:t>
      </w:r>
      <w:r>
        <w:rPr>
          <w:rFonts w:hint="default" w:ascii="Times New Roman" w:hAnsi="Times New Roman" w:eastAsia="仿宋_GB2312" w:cs="Times New Roman"/>
          <w:sz w:val="28"/>
          <w:szCs w:val="28"/>
        </w:rPr>
        <w:t>】（具体开工时间以甲方书面通知为准），计划完工日期：【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04</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18</w:t>
      </w:r>
      <w:r>
        <w:rPr>
          <w:rFonts w:hint="default" w:ascii="Times New Roman" w:hAnsi="Times New Roman" w:eastAsia="仿宋_GB2312" w:cs="Times New Roman"/>
          <w:sz w:val="28"/>
          <w:szCs w:val="28"/>
        </w:rPr>
        <w:t>】，合同工期</w:t>
      </w:r>
      <w:r>
        <w:rPr>
          <w:rFonts w:hint="default" w:ascii="Times New Roman" w:hAnsi="Times New Roman" w:eastAsia="仿宋_GB2312" w:cs="Times New Roman"/>
          <w:sz w:val="28"/>
          <w:szCs w:val="28"/>
          <w:lang w:val="en-US" w:eastAsia="zh-CN"/>
        </w:rPr>
        <w:t>为</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90</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个</w:t>
      </w:r>
      <w:r>
        <w:rPr>
          <w:rFonts w:hint="default" w:ascii="Times New Roman" w:hAnsi="Times New Roman" w:eastAsia="仿宋_GB2312" w:cs="Times New Roman"/>
          <w:sz w:val="28"/>
          <w:szCs w:val="28"/>
        </w:rPr>
        <w:t>日历天。工期总日历天数与根据前述计划开竣工日期计算的工期天数不一致的，以工期总日历天数为准。</w:t>
      </w:r>
    </w:p>
    <w:p w14:paraId="03E944EB">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四、结算方式 </w:t>
      </w:r>
    </w:p>
    <w:p w14:paraId="628CD8D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本合同不含增值税</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暂定合同价</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为人民币【大</w:t>
      </w:r>
      <w:r>
        <w:rPr>
          <w:rFonts w:hint="default" w:ascii="Times New Roman" w:hAnsi="Times New Roman" w:eastAsia="仿宋_GB2312" w:cs="Times New Roman"/>
          <w:sz w:val="28"/>
          <w:szCs w:val="28"/>
          <w:lang w:val="en-US" w:eastAsia="zh-CN"/>
        </w:rPr>
        <w:t>写：</w:t>
      </w:r>
      <w:r>
        <w:rPr>
          <w:rFonts w:hint="eastAsia" w:ascii="Times New Roman" w:hAnsi="Times New Roman" w:eastAsia="仿宋_GB2312" w:cs="Times New Roman"/>
          <w:sz w:val="28"/>
          <w:szCs w:val="28"/>
          <w:lang w:val="en-US" w:eastAsia="zh-CN"/>
        </w:rPr>
        <w:t>壹佰叁拾玖万零陆佰捌拾捌元伍角捌分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1,390,688.58</w:t>
      </w:r>
      <w:r>
        <w:rPr>
          <w:rFonts w:hint="default" w:ascii="Times New Roman" w:hAnsi="Times New Roman" w:eastAsia="仿宋_GB2312" w:cs="Times New Roman"/>
          <w:sz w:val="28"/>
          <w:szCs w:val="28"/>
        </w:rPr>
        <w:t>】元），增值税税率【</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】，增值税税额为人民币【大写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壹拾贰万伍仟壹佰陆拾壹元玖角柒分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125,161.97</w:t>
      </w:r>
      <w:r>
        <w:rPr>
          <w:rFonts w:hint="default" w:ascii="Times New Roman" w:hAnsi="Times New Roman" w:eastAsia="仿宋_GB2312" w:cs="Times New Roman"/>
          <w:sz w:val="28"/>
          <w:szCs w:val="28"/>
        </w:rPr>
        <w:t>】元），含增值税的签约合同总价为人民币【大写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壹佰伍拾壹万伍仟捌佰伍拾元伍角伍分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1,515,850.55</w:t>
      </w:r>
      <w:r>
        <w:rPr>
          <w:rFonts w:hint="default" w:ascii="Times New Roman" w:hAnsi="Times New Roman" w:eastAsia="仿宋_GB2312" w:cs="Times New Roman"/>
          <w:sz w:val="28"/>
          <w:szCs w:val="28"/>
        </w:rPr>
        <w:t>】元），上述价格包括但不限于【</w:t>
      </w:r>
      <w:r>
        <w:rPr>
          <w:rFonts w:hint="default" w:ascii="Times New Roman" w:hAnsi="Times New Roman" w:eastAsia="仿宋_GB2312" w:cs="Times New Roman"/>
          <w:sz w:val="28"/>
          <w:szCs w:val="28"/>
          <w:lang w:val="en-US" w:eastAsia="zh-CN"/>
        </w:rPr>
        <w:t>人工、材料、机械、管理费、利润、规费</w:t>
      </w:r>
      <w:r>
        <w:rPr>
          <w:rFonts w:hint="default" w:ascii="Times New Roman" w:hAnsi="Times New Roman" w:eastAsia="仿宋_GB2312" w:cs="Times New Roman"/>
          <w:sz w:val="28"/>
          <w:szCs w:val="28"/>
        </w:rPr>
        <w:t>、税费】等乙方履行本合同涉及或可能涉及的一切费用。</w:t>
      </w:r>
    </w:p>
    <w:p w14:paraId="693BFC7D">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结算与支付</w:t>
      </w:r>
    </w:p>
    <w:p w14:paraId="49715AAA">
      <w:pPr>
        <w:keepNext w:val="0"/>
        <w:keepLines w:val="0"/>
        <w:pageBreakBefore w:val="0"/>
        <w:widowControl w:val="0"/>
        <w:kinsoku/>
        <w:wordWrap/>
        <w:overflowPunct/>
        <w:topLinePunct w:val="0"/>
        <w:bidi w:val="0"/>
        <w:snapToGrid/>
        <w:spacing w:line="480" w:lineRule="exact"/>
        <w:ind w:right="0" w:firstLine="560" w:firstLineChars="200"/>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【工程款根据发包人付款情况按经甲方核实的乙方实际完成专业进度计价款的 70 %（含支付到农民工工资支付账户的农民工工资）支付，但必须扣除双方约定的其它费用（质量保证金月支付额的</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%，农民工工资保证金</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等，已经缴纳履约保证金的，且履约保证金数额已包含质量保证需求的，工程项目竣工前，可不再另扣质量保证金。）审核确认应付工程价款后，30日内（甲方收到业主方工程款的前提下）支付给乙方。竣工验收后工程款支付至97%，剩余3%作为质保金在质保期满后支付。乙方每月发放的用工工资表必须返甲方一份，同时乙方必须确保按甲方下达的月进度计划按质、按量完成，否则甲方有权对专业费或工程款支付比例进行调整。付款方式包括但不限于现金、支票、汇票、金融产品等方式。】</w:t>
      </w:r>
    </w:p>
    <w:p w14:paraId="04C0EE54">
      <w:pPr>
        <w:pStyle w:val="9"/>
        <w:keepNext w:val="0"/>
        <w:keepLines w:val="0"/>
        <w:pageBreakBefore w:val="0"/>
        <w:widowControl w:val="0"/>
        <w:numPr>
          <w:ilvl w:val="0"/>
          <w:numId w:val="0"/>
        </w:numPr>
        <w:kinsoku/>
        <w:wordWrap/>
        <w:overflowPunct/>
        <w:topLinePunct w:val="0"/>
        <w:bidi w:val="0"/>
        <w:snapToGrid/>
        <w:spacing w:line="480" w:lineRule="exact"/>
        <w:ind w:right="0" w:righ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本合同履行过程中，上述约定税率如因国家政策调整导致税率变化的，双方根据政策文件实施要求，按上述不含税价及调整后的税率执行。</w:t>
      </w:r>
    </w:p>
    <w:p w14:paraId="5A8804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签证工程量确定：【</w:t>
      </w:r>
      <w:r>
        <w:rPr>
          <w:rFonts w:hint="default" w:ascii="Times New Roman" w:hAnsi="Times New Roman" w:eastAsia="仿宋_GB2312" w:cs="Times New Roman"/>
          <w:kern w:val="2"/>
          <w:sz w:val="28"/>
          <w:szCs w:val="28"/>
          <w:lang w:val="en-US" w:eastAsia="zh-CN" w:bidi="ar-SA"/>
        </w:rPr>
        <w:t>合同清单以外工程量经甲乙双方共同复核确认</w:t>
      </w:r>
      <w:r>
        <w:rPr>
          <w:rFonts w:hint="eastAsia" w:ascii="Times New Roman" w:hAnsi="Times New Roman" w:eastAsia="仿宋_GB2312" w:cs="Times New Roman"/>
          <w:kern w:val="2"/>
          <w:sz w:val="28"/>
          <w:szCs w:val="28"/>
          <w:lang w:val="en-US" w:eastAsia="zh-CN" w:bidi="ar-SA"/>
        </w:rPr>
        <w:t>并经监理及跟踪审计确认</w:t>
      </w:r>
      <w:r>
        <w:rPr>
          <w:rFonts w:hint="default" w:ascii="Times New Roman" w:hAnsi="Times New Roman" w:eastAsia="仿宋_GB2312" w:cs="Times New Roman"/>
          <w:kern w:val="2"/>
          <w:sz w:val="28"/>
          <w:szCs w:val="28"/>
          <w:lang w:val="en-US" w:eastAsia="zh-CN" w:bidi="ar-SA"/>
        </w:rPr>
        <w:t>，并以现场签证单为准；甲方对确认的合同外签证工程量清单及组价文件的编制依据为</w:t>
      </w:r>
      <w:r>
        <w:rPr>
          <w:rFonts w:hint="eastAsia" w:ascii="Times New Roman" w:hAnsi="Times New Roman" w:eastAsia="仿宋_GB2312" w:cs="Times New Roman"/>
          <w:kern w:val="2"/>
          <w:sz w:val="28"/>
          <w:szCs w:val="28"/>
          <w:lang w:val="en-US" w:eastAsia="zh-CN" w:bidi="ar-SA"/>
        </w:rPr>
        <w:t>现行</w:t>
      </w:r>
      <w:r>
        <w:rPr>
          <w:rFonts w:hint="default"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安徽</w:t>
      </w:r>
      <w:r>
        <w:rPr>
          <w:rFonts w:hint="default" w:ascii="Times New Roman" w:hAnsi="Times New Roman" w:eastAsia="仿宋_GB2312" w:cs="Times New Roman"/>
          <w:kern w:val="2"/>
          <w:sz w:val="28"/>
          <w:szCs w:val="28"/>
          <w:lang w:val="en-US" w:eastAsia="zh-CN" w:bidi="ar-SA"/>
        </w:rPr>
        <w:t>省市政工程计价定额》及其配套文件。其中人工下浮20%、机械下浮10%，不计取管理费、利润、规费、措施费费率仅计取安全文明施工费的以及临时设施费（</w:t>
      </w:r>
      <w:r>
        <w:rPr>
          <w:rFonts w:hint="eastAsia" w:ascii="Times New Roman" w:hAnsi="Times New Roman" w:eastAsia="仿宋_GB2312" w:cs="Times New Roman"/>
          <w:kern w:val="2"/>
          <w:sz w:val="28"/>
          <w:szCs w:val="28"/>
          <w:lang w:val="en-US" w:eastAsia="zh-CN" w:bidi="ar-SA"/>
        </w:rPr>
        <w:t>措施费如遇取值区间取</w:t>
      </w:r>
      <w:r>
        <w:rPr>
          <w:rFonts w:hint="default" w:ascii="Times New Roman" w:hAnsi="Times New Roman" w:eastAsia="仿宋_GB2312" w:cs="Times New Roman"/>
          <w:kern w:val="2"/>
          <w:sz w:val="28"/>
          <w:szCs w:val="28"/>
          <w:lang w:val="en-US" w:eastAsia="zh-CN" w:bidi="ar-SA"/>
        </w:rPr>
        <w:t>中值）、税金费率与合同清单一致）</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w:t>
      </w:r>
      <w:bookmarkStart w:id="0" w:name="_GoBack"/>
      <w:bookmarkEnd w:id="0"/>
    </w:p>
    <w:p w14:paraId="1CC8A6FF">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五、甲方权利义务</w:t>
      </w:r>
    </w:p>
    <w:p w14:paraId="3AC760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负责业主、监理及其它相关单位的工作协调。</w:t>
      </w:r>
    </w:p>
    <w:p w14:paraId="19B81E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2监督乙方做好安全生产文明施工、施工进度、质量控制。</w:t>
      </w:r>
    </w:p>
    <w:p w14:paraId="03DC5A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甲方不承担乙方在施工过程中因任何问题造成的任何安全事故责任。</w:t>
      </w:r>
    </w:p>
    <w:p w14:paraId="615FDF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依据本合同约定及时支付合同价款。</w:t>
      </w:r>
    </w:p>
    <w:p w14:paraId="1226815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六、乙方权利义务</w:t>
      </w:r>
    </w:p>
    <w:p w14:paraId="0E31846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乙方应按照甲方要求及行政部门的管理规定，规范管理现场，对于进入现场施工的工人，必须符合公安、劳动等部门的有关规定，证件齐全。</w:t>
      </w:r>
    </w:p>
    <w:p w14:paraId="6CF7ECC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严格按图纸要求、国家验收规范要求进行施工，及时、准确提供有效资料。</w:t>
      </w:r>
    </w:p>
    <w:p w14:paraId="75F3F62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乙方应做好与其它相关施工单位的配合工作，确保工期、质量和安全文明达到规定要求。</w:t>
      </w:r>
    </w:p>
    <w:p w14:paraId="080CF3A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严格遵守本工程的各项要求及服从甲方及项目部的管理，如有违反将承担甲方及监理单位依据管理制度规定所做出的处罚决定。</w:t>
      </w:r>
    </w:p>
    <w:p w14:paraId="392F234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进场施工后，未经甲方同意不得要求退场，否则其所做工程及所有未结工程款不予支付或结算。</w:t>
      </w:r>
    </w:p>
    <w:p w14:paraId="7BC905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本合同履行过程中所涉及的工程全部成品、半成品在竣工验收交付前均由乙方负责管理、保护，产生的毁损、损失责任也相应由乙方承担。 </w:t>
      </w:r>
    </w:p>
    <w:p w14:paraId="27A501B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乙方保证工程质量达到国家验收标准，因乙方承包范围内的工程质量原因未达到国家验收标准的，甲方有权拒绝接收和支付任何合同款项，同时有权要求乙方承担损失赔偿责任。 </w:t>
      </w:r>
    </w:p>
    <w:p w14:paraId="1DDE9C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乙方应为其施工人员购买法律规定的各项社会保险，合同履行期间乙方施工人员所发生的工伤、安全事故责任由乙方予以承担。</w:t>
      </w:r>
    </w:p>
    <w:p w14:paraId="2FB837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必须按照规定的标准实行文明施工管理，做好安全教育与施工保护措施，所有人员进入施工现场必须穿戴安全防护用品，对施工现场的安全施工、安全防火负责。按安全标准组织施工，根据现场情况采取必要的安全防护措施，全面负责施工现场的安全及第三方人身安全，施工期间非因甲方原因导致的人身损害及财产损失均由乙方自行承担相应的赔偿责任，包括但不限于甲、乙方双方及第三方的人员损害及财产损失。</w:t>
      </w:r>
    </w:p>
    <w:p w14:paraId="1855EE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施工现场在保证安全的前提下,按照标准化现场施工要求,保持场内、场外整洁，做到材料堆放有序整齐，工完料尽场地清。</w:t>
      </w:r>
    </w:p>
    <w:p w14:paraId="557462D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乙方施工所用临时电在接线前与甲方沟通确定接线位置，并依据国家相关规范要求对现场用电进行管理，确保施工现场临时用电安全。</w:t>
      </w:r>
    </w:p>
    <w:p w14:paraId="4AF4D17A">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七、质保期</w:t>
      </w:r>
    </w:p>
    <w:p w14:paraId="4EE69B2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本工程质保期为自业主书面验收合格并移交之日起【</w:t>
      </w:r>
      <w:r>
        <w:rPr>
          <w:rFonts w:ascii="Times New Roman" w:hAnsi="Times New Roman" w:eastAsia="Times New Roman" w:cs="Times New Roman"/>
          <w:spacing w:val="-5"/>
          <w:sz w:val="28"/>
          <w:szCs w:val="28"/>
        </w:rPr>
        <w:t>24</w:t>
      </w:r>
      <w:r>
        <w:rPr>
          <w:rFonts w:hint="default" w:ascii="Times New Roman" w:hAnsi="Times New Roman" w:eastAsia="仿宋_GB2312" w:cs="Times New Roman"/>
          <w:sz w:val="28"/>
          <w:szCs w:val="28"/>
        </w:rPr>
        <w:t>】个月，如国家相关法律法规及行业标准规定超过上述质保期的，以国家相关法律法规及行业标准规定为准。</w:t>
      </w:r>
    </w:p>
    <w:p w14:paraId="11C892D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乙方应保证维修及时性，在收到甲方的通知后，应及时赶到现场，具体时间如下：</w:t>
      </w:r>
    </w:p>
    <w:p w14:paraId="2C000A9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（1）除人力不可抗拒原因外，乙方须在接到通知后【8】小时内赶到现场并于【2】小时内解决。</w:t>
      </w:r>
    </w:p>
    <w:p w14:paraId="4DDB0CA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（2）其他情况下，乙方须在甲方通知后【24】小时内赶到现场，并于赶到现场之日起【2】日内完成通知所涉及之保修项目。</w:t>
      </w:r>
    </w:p>
    <w:p w14:paraId="138E5745">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（3）当乙方未按（1）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条规定时间到场的情况下，甲方有权自行安排第三方进行维修，由此产生的全部费用甲方有权自乙方未结款项（含质保金）中直接扣除，鉴于乙方未能按时响应保修义务过程中，甲方人员劳动及工作成本的增加，乙方需另向甲方支付售后管理费【售后管理费用的标准为第三方全部维修费用的【20%】，且单笔售后管理费不应少于【1000】元】，甲方有权在乙方未结工程款（含质保金）中直接扣除。</w:t>
      </w:r>
    </w:p>
    <w:p w14:paraId="4333DC38">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（4）经乙方维修或甲方委托第三方维修后，保修期以甲方验收合格之日起重新起算。保修期内更换或维修的部件、部位，其保修期在更换或维修验收后重新起算。</w:t>
      </w:r>
    </w:p>
    <w:p w14:paraId="2E742E66">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（5）因乙方逾期响应保修义务导致的甲方所有扣付事项，均无需征得乙方的认可。</w:t>
      </w:r>
    </w:p>
    <w:p w14:paraId="6235A26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（6）保修期内乙方尚有未完成的维修义务及甲方委托第三方未处理完毕的维修工作的，剩余质保金应顺延至维修赔偿完毕之日后的【15】个工作日内返还。</w:t>
      </w:r>
    </w:p>
    <w:p w14:paraId="12B9F0AB">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八</w:t>
      </w:r>
      <w:r>
        <w:rPr>
          <w:rFonts w:hint="default" w:ascii="Times New Roman" w:hAnsi="Times New Roman" w:eastAsia="黑体" w:cs="Times New Roman"/>
          <w:sz w:val="28"/>
          <w:szCs w:val="28"/>
        </w:rPr>
        <w:t>、违约责任</w:t>
      </w:r>
    </w:p>
    <w:p w14:paraId="778A8D7F">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因乙方原因造成本工程质量达不到合同约定质量标准的，甲方有权不办理结算、不支付工程款，同时乙方应承担修复责任，向甲方支付合同价款【5%】的违约金，并赔偿甲方由此遭受的全部损失。</w:t>
      </w:r>
    </w:p>
    <w:p w14:paraId="22E10BEF">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乙方将本合同内的承包工作内容再分包或转包给他人的，乙方须承担本合同价款【20%】的违约金，且甲方有权单方解除合同而无需承担任何违约责任。</w:t>
      </w:r>
    </w:p>
    <w:p w14:paraId="5462CF3C">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由于乙方原因施工质量无法满足甲方要求或质量不合格的，甲方有权要求乙方限期予以整改，乙方未能按期整改完毕并通过甲方确认的，甲方有权解除合同。整改期间甲方不予以支付任何费用，整改期间损失的工期由乙方自行承担。</w:t>
      </w:r>
    </w:p>
    <w:p w14:paraId="690FE6B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甲方依据本合同约定解除合同的，有权要求乙方承担合同总价【20%】的违约金；甲方发出解除合同通知后，乙方应按甲方要求及时退场，迟延退场期间应向甲方承担【10000元/天】的违约金。</w:t>
      </w:r>
    </w:p>
    <w:p w14:paraId="786CEC22">
      <w:pPr>
        <w:keepNext w:val="0"/>
        <w:keepLines w:val="0"/>
        <w:pageBreakBefore w:val="0"/>
        <w:widowControl w:val="0"/>
        <w:kinsoku/>
        <w:wordWrap/>
        <w:overflowPunct/>
        <w:topLinePunct w:val="0"/>
        <w:bidi w:val="0"/>
        <w:snapToGrid/>
        <w:spacing w:line="480" w:lineRule="exact"/>
        <w:ind w:left="0"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因承包人原因造成工期延误，每延期一天，承包人向发包人支付合同总价【0.1%】的违约金，并承担延误工期给总包单位、建设单位造成的全部损失 。误期时间从合同约定竣工日期起直至全部工程实际验收合格日期止。</w:t>
      </w:r>
    </w:p>
    <w:p w14:paraId="4EC33ABE">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无故停工或延误节点工期累计【15天】以上或质量严重不合格且经整改无明显改变等，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有权单方面终止合同，所造成损失由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 。</w:t>
      </w:r>
    </w:p>
    <w:p w14:paraId="1410B7B9">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在工程履约过程及各项事件协商办理过程中，</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不得擅自单方面停工，否则每停工一天（不足一天按一天计），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支付【50000元】违约金 。 </w:t>
      </w:r>
    </w:p>
    <w:p w14:paraId="461E5C2B">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必须按照</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总承包人安全管理、现场管理、进度管理、质量管理相关要求组织施工，按时参加</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总承包人组织的生产调度会、质量专题会议，以及监理单位组织的监理例会和其他专题会议，</w:t>
      </w:r>
      <w:r>
        <w:rPr>
          <w:rFonts w:hint="default" w:ascii="Times New Roman" w:hAnsi="Times New Roman" w:eastAsia="仿宋_GB2312" w:cs="Times New Roman"/>
          <w:sz w:val="28"/>
          <w:szCs w:val="28"/>
          <w:lang w:val="en-US" w:eastAsia="zh-CN"/>
        </w:rPr>
        <w:t>如不能按时参加或拒不参加的，应向甲方</w:t>
      </w:r>
      <w:r>
        <w:rPr>
          <w:rFonts w:hint="default" w:ascii="Times New Roman" w:hAnsi="Times New Roman" w:eastAsia="仿宋_GB2312" w:cs="Times New Roman"/>
          <w:sz w:val="28"/>
          <w:szCs w:val="28"/>
        </w:rPr>
        <w:t>支付【1000元】</w:t>
      </w:r>
      <w:r>
        <w:rPr>
          <w:rFonts w:hint="default" w:ascii="Times New Roman" w:hAnsi="Times New Roman" w:eastAsia="仿宋_GB2312" w:cs="Times New Roman"/>
          <w:sz w:val="28"/>
          <w:szCs w:val="28"/>
          <w:lang w:val="en-US" w:eastAsia="zh-CN"/>
        </w:rPr>
        <w:t>/次的</w:t>
      </w:r>
      <w:r>
        <w:rPr>
          <w:rFonts w:hint="default" w:ascii="Times New Roman" w:hAnsi="Times New Roman" w:eastAsia="仿宋_GB2312" w:cs="Times New Roman"/>
          <w:sz w:val="28"/>
          <w:szCs w:val="28"/>
        </w:rPr>
        <w:t>违约金。违约金的支付并不能免除合同约定的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14:paraId="07AE8561">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在施工时必须严格按照投标时确定的措施项目进行设置和实施，</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没有按照投标时确定的措施项目进行设置而私自降低标准时，每发生一次，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按该项措施费的【10%】支付违约金 。</w:t>
      </w:r>
    </w:p>
    <w:p w14:paraId="1B250F7D">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须积极配合建设单位、总包单位办理应由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办理的手续工作；</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需按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的要求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个工作日内提供所需证明资料，否则，每延误一日，</w:t>
      </w:r>
      <w:r>
        <w:rPr>
          <w:rFonts w:hint="default" w:ascii="Times New Roman" w:hAnsi="Times New Roman" w:eastAsia="仿宋_GB2312" w:cs="Times New Roman"/>
          <w:sz w:val="28"/>
          <w:szCs w:val="28"/>
          <w:lang w:val="en-US" w:eastAsia="zh-CN"/>
        </w:rPr>
        <w:t>向甲方支付</w:t>
      </w:r>
      <w:r>
        <w:rPr>
          <w:rFonts w:hint="default" w:ascii="Times New Roman" w:hAnsi="Times New Roman" w:eastAsia="仿宋_GB2312" w:cs="Times New Roman"/>
          <w:sz w:val="28"/>
          <w:szCs w:val="28"/>
        </w:rPr>
        <w:t>【2000】元</w:t>
      </w:r>
      <w:r>
        <w:rPr>
          <w:rFonts w:hint="default" w:ascii="Times New Roman" w:hAnsi="Times New Roman" w:eastAsia="仿宋_GB2312" w:cs="Times New Roman"/>
          <w:sz w:val="28"/>
          <w:szCs w:val="28"/>
          <w:lang w:val="en-US" w:eastAsia="zh-CN"/>
        </w:rPr>
        <w:t>/日的违约金</w:t>
      </w:r>
      <w:r>
        <w:rPr>
          <w:rFonts w:hint="default" w:ascii="Times New Roman" w:hAnsi="Times New Roman" w:eastAsia="仿宋_GB2312" w:cs="Times New Roman"/>
          <w:sz w:val="28"/>
          <w:szCs w:val="28"/>
        </w:rPr>
        <w:t>，且</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有权暂停对承包人的结算及支付工作 。</w:t>
      </w:r>
    </w:p>
    <w:p w14:paraId="6F8F8583">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对总包单位、监理单位、建设单位发出的工作指令须严格执行。</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拒不执行指令的，属</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违约，每发生一次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支付违约金【10000】元，由此造成的一切损失由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14:paraId="0F8C2384">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本合同项下，</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损失包括但不限于遭受的处罚、罚款，向第三方的赔偿后补偿，另行聘请第三方的溢价，工期延误的损失以及向监理人追偿的费用（包括律师费、诉讼费、执行费、担保费、公告费、鉴定费等一切费用）。 </w:t>
      </w:r>
    </w:p>
    <w:p w14:paraId="2850016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对所招用的农民工工资支付负直接责任，应按时发放农民工工资，及时、准确提供相关资料。乙方不得以工程款未到位等为由克扣或拖欠农民工工资，不得以合同应收工程款等经营风险转嫁给农民工。若发生农民工集中讨薪、围堵甲方或行政机关影响其正常办公或以其他方式进行讨薪事件的，甲方有权要求乙方承担【20000元/次】的违约金，如经甲方核实确属乙方欠薪人员的，甲方也有权自乙方未结款项中直接支付并在后期付款时予以扣除。</w:t>
      </w:r>
    </w:p>
    <w:p w14:paraId="4F647A0D">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sz w:val="28"/>
          <w:szCs w:val="28"/>
        </w:rPr>
        <w:t>、不可抗力</w:t>
      </w:r>
    </w:p>
    <w:p w14:paraId="65D1752C">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14:paraId="60C32E5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受阻一方应在不可抗力事件发生后，尽快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14:paraId="3CC43720">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十</w:t>
      </w:r>
      <w:r>
        <w:rPr>
          <w:rFonts w:hint="default" w:ascii="Times New Roman" w:hAnsi="Times New Roman" w:eastAsia="黑体" w:cs="Times New Roman"/>
          <w:sz w:val="28"/>
          <w:szCs w:val="28"/>
        </w:rPr>
        <w:t>、争端的解决</w:t>
      </w:r>
    </w:p>
    <w:p w14:paraId="78AAA661">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本合同履行过程中若发生纠纷，甲乙双方应及时协商解决，协商未果，由</w:t>
      </w:r>
      <w:r>
        <w:rPr>
          <w:rFonts w:hint="eastAsia"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所在地人民法院裁决，其他法院无权管辖。</w:t>
      </w:r>
    </w:p>
    <w:p w14:paraId="263B9C13">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、适用法律</w:t>
      </w:r>
    </w:p>
    <w:p w14:paraId="646B55E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本合同按照中华人民共和国的法律进行解释。</w:t>
      </w:r>
    </w:p>
    <w:p w14:paraId="34916AC8">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二</w:t>
      </w:r>
      <w:r>
        <w:rPr>
          <w:rFonts w:hint="default" w:ascii="Times New Roman" w:hAnsi="Times New Roman" w:eastAsia="黑体" w:cs="Times New Roman"/>
          <w:sz w:val="28"/>
          <w:szCs w:val="28"/>
        </w:rPr>
        <w:t>、通知及送达</w:t>
      </w:r>
    </w:p>
    <w:p w14:paraId="608B5C36">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本合同双方指定的履约对接人如下，双方同意以本合同载明的以下地址、电话、联系人作为接收合同履行过程中向其发出的各类信函或通知。</w:t>
      </w:r>
    </w:p>
    <w:p w14:paraId="366E891F">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甲方联系人：【</w:t>
      </w:r>
      <w:r>
        <w:rPr>
          <w:rFonts w:hint="eastAsia" w:ascii="Times New Roman" w:hAnsi="Times New Roman" w:eastAsia="仿宋_GB2312" w:cs="Times New Roman"/>
          <w:sz w:val="28"/>
          <w:szCs w:val="28"/>
          <w:lang w:val="en-US" w:eastAsia="zh-CN"/>
        </w:rPr>
        <w:t>徐金平</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13357969937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安徽省六安市金寨县生活污水处理厂</w:t>
      </w:r>
      <w:r>
        <w:rPr>
          <w:rFonts w:hint="default"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lang w:val="en-US" w:eastAsia="zh-CN"/>
        </w:rPr>
        <w:t>；</w:t>
      </w:r>
    </w:p>
    <w:p w14:paraId="596A289F">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乙方联系人：【</w:t>
      </w:r>
      <w:r>
        <w:rPr>
          <w:rFonts w:hint="eastAsia" w:ascii="Times New Roman" w:hAnsi="Times New Roman" w:eastAsia="仿宋_GB2312" w:cs="Times New Roman"/>
          <w:sz w:val="28"/>
          <w:szCs w:val="28"/>
          <w:lang w:val="en-US" w:eastAsia="zh-CN"/>
        </w:rPr>
        <w:t>陈玉洁</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18326379566</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联系地址：【</w:t>
      </w:r>
      <w:r>
        <w:rPr>
          <w:rFonts w:hint="eastAsia" w:ascii="Times New Roman" w:hAnsi="Times New Roman" w:eastAsia="仿宋_GB2312" w:cs="Times New Roman"/>
          <w:sz w:val="28"/>
          <w:szCs w:val="28"/>
          <w:lang w:val="en-US" w:eastAsia="zh-CN"/>
        </w:rPr>
        <w:t>安徽省六安市金寨现代产业园区梅山湖路上海大厦22层</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w:t>
      </w:r>
    </w:p>
    <w:p w14:paraId="181EF21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任何根据本合同发出的文件，可以当面送达或邮寄方式送达至对方在本合同上载明的地址，任何一方变更送达地址应及时书面通知对方，若因怠于通知变更信息或提供的信息不准确造成无法送达的，视为送达。</w:t>
      </w:r>
    </w:p>
    <w:p w14:paraId="408B9E4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（1）通过当面送达方式发出的文件，以对方签收视为送达；</w:t>
      </w:r>
    </w:p>
    <w:p w14:paraId="1EC5A91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（2）通过邮寄方式寄送至对方在本合同上载明地址的文件，在对方签收时视为送达或在文件寄送后三个工作日视为送达</w:t>
      </w:r>
      <w:r>
        <w:rPr>
          <w:rFonts w:hint="default" w:ascii="Times New Roman" w:hAnsi="Times New Roman" w:eastAsia="仿宋_GB2312" w:cs="Times New Roman"/>
          <w:sz w:val="28"/>
          <w:szCs w:val="28"/>
          <w:lang w:eastAsia="zh-CN"/>
        </w:rPr>
        <w:t>。</w:t>
      </w:r>
    </w:p>
    <w:p w14:paraId="1504333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本合同载明地址即为司法文书送达的有效地址，向以上通讯地址送达的司法文书均视为有效送达，无论是否发生拒收、退件、无人签收、他人代收或其他无法送达的情形的，均不影响司法送达的效力。</w:t>
      </w:r>
    </w:p>
    <w:p w14:paraId="1123349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双方共同确认：上述送达方式适用于各个司法阶段，包括但不限于仲裁、一审、二审、再审、执行以及督促程序。</w:t>
      </w:r>
      <w:r>
        <w:rPr>
          <w:rFonts w:hint="default" w:ascii="Times New Roman" w:hAnsi="Times New Roman" w:eastAsia="仿宋_GB2312" w:cs="Times New Roman"/>
          <w:sz w:val="28"/>
          <w:szCs w:val="28"/>
        </w:rPr>
        <w:tab/>
      </w:r>
    </w:p>
    <w:p w14:paraId="6C91862E">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、生效条款</w:t>
      </w:r>
    </w:p>
    <w:p w14:paraId="7B45CB4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本合同经双方法定代表人或授权代表签字并加盖双方</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确认后生效，任何关于本合同主要条款的变更履行必须经由双方法定代表人或授权代表签字并加盖</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确认，否则不发生合同的变更效力，即使乙方合同事实变更履行完毕，甲方亦有权不予结算，由此导致的一切损失均由双方自行承担，本合同一式【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】份，甲方执【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】份，乙方执【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p>
    <w:p w14:paraId="6A529772">
      <w:pPr>
        <w:pStyle w:val="9"/>
        <w:keepNext w:val="0"/>
        <w:keepLines w:val="0"/>
        <w:pageBreakBefore w:val="0"/>
        <w:widowControl w:val="0"/>
        <w:numPr>
          <w:ilvl w:val="0"/>
          <w:numId w:val="0"/>
        </w:numPr>
        <w:tabs>
          <w:tab w:val="left" w:pos="414"/>
        </w:tabs>
        <w:kinsoku/>
        <w:wordWrap/>
        <w:overflowPunct/>
        <w:topLinePunct w:val="0"/>
        <w:bidi w:val="0"/>
        <w:snapToGrid/>
        <w:spacing w:line="480" w:lineRule="exact"/>
        <w:ind w:right="0" w:rightChars="0"/>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kern w:val="2"/>
          <w:sz w:val="28"/>
          <w:szCs w:val="28"/>
          <w:lang w:val="en-US" w:eastAsia="zh-CN" w:bidi="ar-SA"/>
        </w:rPr>
        <w:t>十四、其他约定：【/】</w:t>
      </w:r>
    </w:p>
    <w:p w14:paraId="473526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14:paraId="2C91AD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w:t>
      </w:r>
      <w:r>
        <w:rPr>
          <w:rFonts w:hint="default" w:ascii="Times New Roman" w:hAnsi="Times New Roman" w:eastAsia="仿宋_GB2312" w:cs="Times New Roman"/>
          <w:sz w:val="28"/>
          <w:szCs w:val="28"/>
          <w:lang w:val="en-US" w:eastAsia="zh-CN"/>
        </w:rPr>
        <w:t>1.安全生产</w:t>
      </w:r>
      <w:r>
        <w:rPr>
          <w:rFonts w:hint="default" w:ascii="Times New Roman" w:hAnsi="Times New Roman" w:eastAsia="仿宋_GB2312" w:cs="Times New Roman"/>
          <w:sz w:val="28"/>
          <w:szCs w:val="28"/>
        </w:rPr>
        <w:t>协议书</w:t>
      </w:r>
    </w:p>
    <w:p w14:paraId="3B6614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400" w:firstLineChars="5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lang w:val="en-US" w:eastAsia="zh-CN"/>
        </w:rPr>
        <w:t>廉政协议书</w:t>
      </w:r>
    </w:p>
    <w:p w14:paraId="080806D4">
      <w:pPr>
        <w:spacing w:line="500" w:lineRule="exact"/>
        <w:rPr>
          <w:rFonts w:hint="default" w:ascii="Times New Roman" w:hAnsi="Times New Roman" w:eastAsia="仿宋_GB2312" w:cs="Times New Roman"/>
          <w:sz w:val="24"/>
          <w:szCs w:val="24"/>
        </w:rPr>
      </w:pPr>
    </w:p>
    <w:p w14:paraId="67E1DE43">
      <w:pPr>
        <w:spacing w:line="500" w:lineRule="exact"/>
        <w:rPr>
          <w:rFonts w:hint="default" w:ascii="Times New Roman" w:hAnsi="Times New Roman" w:eastAsia="仿宋_GB2312" w:cs="Times New Roman"/>
          <w:sz w:val="24"/>
          <w:szCs w:val="24"/>
        </w:rPr>
      </w:pPr>
    </w:p>
    <w:p w14:paraId="584FDA29">
      <w:pPr>
        <w:spacing w:line="500" w:lineRule="exact"/>
        <w:rPr>
          <w:rFonts w:hint="default" w:ascii="Times New Roman" w:hAnsi="Times New Roman" w:eastAsia="仿宋_GB2312" w:cs="Times New Roman"/>
          <w:sz w:val="24"/>
          <w:szCs w:val="24"/>
        </w:rPr>
      </w:pPr>
    </w:p>
    <w:p w14:paraId="6FB9826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4DE8B74F">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（本页为签署页，以下无</w:t>
      </w:r>
      <w:r>
        <w:rPr>
          <w:rFonts w:hint="default" w:ascii="Times New Roman" w:hAnsi="Times New Roman" w:eastAsia="仿宋_GB2312" w:cs="Times New Roman"/>
          <w:sz w:val="24"/>
          <w:szCs w:val="24"/>
          <w:lang w:val="en-US" w:eastAsia="zh-CN"/>
        </w:rPr>
        <w:t>正</w:t>
      </w:r>
      <w:r>
        <w:rPr>
          <w:rFonts w:hint="default" w:ascii="Times New Roman" w:hAnsi="Times New Roman" w:eastAsia="仿宋_GB2312" w:cs="Times New Roman"/>
          <w:sz w:val="24"/>
          <w:szCs w:val="24"/>
        </w:rPr>
        <w:t>文）</w:t>
      </w:r>
    </w:p>
    <w:tbl>
      <w:tblPr>
        <w:tblStyle w:val="5"/>
        <w:tblW w:w="4998" w:type="pct"/>
        <w:jc w:val="center"/>
        <w:tblLayout w:type="autofit"/>
        <w:tblCellMar>
          <w:top w:w="0" w:type="dxa"/>
          <w:left w:w="0" w:type="dxa"/>
          <w:bottom w:w="0" w:type="dxa"/>
          <w:right w:w="0" w:type="dxa"/>
        </w:tblCellMar>
      </w:tblPr>
      <w:tblGrid>
        <w:gridCol w:w="931"/>
        <w:gridCol w:w="240"/>
        <w:gridCol w:w="2847"/>
        <w:gridCol w:w="284"/>
        <w:gridCol w:w="939"/>
        <w:gridCol w:w="240"/>
        <w:gridCol w:w="2822"/>
      </w:tblGrid>
      <w:tr w14:paraId="752F71E0">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5A900D3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甲    方</w:t>
            </w:r>
          </w:p>
        </w:tc>
        <w:tc>
          <w:tcPr>
            <w:tcW w:w="144" w:type="pct"/>
            <w:tcBorders>
              <w:top w:val="nil"/>
              <w:left w:val="nil"/>
              <w:bottom w:val="nil"/>
              <w:right w:val="nil"/>
            </w:tcBorders>
            <w:noWrap w:val="0"/>
            <w:vAlign w:val="top"/>
          </w:tcPr>
          <w:p w14:paraId="7CE973F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w:t>
            </w:r>
          </w:p>
        </w:tc>
        <w:tc>
          <w:tcPr>
            <w:tcW w:w="1713" w:type="pct"/>
            <w:tcBorders>
              <w:top w:val="nil"/>
              <w:left w:val="nil"/>
              <w:bottom w:val="nil"/>
              <w:right w:val="nil"/>
            </w:tcBorders>
            <w:noWrap w:val="0"/>
            <w:vAlign w:val="top"/>
          </w:tcPr>
          <w:p w14:paraId="2EC3099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溧阳水务市政工程有限公司</w:t>
            </w:r>
          </w:p>
        </w:tc>
        <w:tc>
          <w:tcPr>
            <w:tcW w:w="171" w:type="pct"/>
            <w:tcBorders>
              <w:top w:val="nil"/>
              <w:left w:val="nil"/>
              <w:bottom w:val="nil"/>
              <w:right w:val="nil"/>
            </w:tcBorders>
            <w:noWrap w:val="0"/>
            <w:vAlign w:val="top"/>
          </w:tcPr>
          <w:p w14:paraId="62C4FBA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62E19C6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bidi="ar"/>
              </w:rPr>
              <w:t>乙    方</w:t>
            </w:r>
          </w:p>
        </w:tc>
        <w:tc>
          <w:tcPr>
            <w:tcW w:w="144" w:type="pct"/>
            <w:tcBorders>
              <w:top w:val="nil"/>
              <w:left w:val="nil"/>
              <w:bottom w:val="nil"/>
              <w:right w:val="nil"/>
            </w:tcBorders>
            <w:noWrap w:val="0"/>
            <w:vAlign w:val="top"/>
          </w:tcPr>
          <w:p w14:paraId="2421DB3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90005E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安徽和盛建设集团有限公司</w:t>
            </w:r>
          </w:p>
        </w:tc>
      </w:tr>
      <w:tr w14:paraId="264FCBCE">
        <w:tblPrEx>
          <w:tblCellMar>
            <w:top w:w="0" w:type="dxa"/>
            <w:left w:w="0" w:type="dxa"/>
            <w:bottom w:w="0" w:type="dxa"/>
            <w:right w:w="0" w:type="dxa"/>
          </w:tblCellMar>
        </w:tblPrEx>
        <w:trPr>
          <w:cantSplit/>
          <w:trHeight w:val="275" w:hRule="atLeast"/>
          <w:jc w:val="center"/>
        </w:trPr>
        <w:tc>
          <w:tcPr>
            <w:tcW w:w="561" w:type="pct"/>
            <w:tcBorders>
              <w:top w:val="nil"/>
              <w:left w:val="nil"/>
              <w:bottom w:val="nil"/>
              <w:right w:val="nil"/>
            </w:tcBorders>
            <w:noWrap w:val="0"/>
            <w:vAlign w:val="top"/>
          </w:tcPr>
          <w:p w14:paraId="1145666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14:paraId="2149E01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3FD98F9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0B63205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55E68CB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14:paraId="1B735D5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28ECAD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8E60421">
        <w:tblPrEx>
          <w:tblCellMar>
            <w:top w:w="0" w:type="dxa"/>
            <w:left w:w="0" w:type="dxa"/>
            <w:bottom w:w="0" w:type="dxa"/>
            <w:right w:w="0" w:type="dxa"/>
          </w:tblCellMar>
        </w:tblPrEx>
        <w:trPr>
          <w:cantSplit/>
          <w:trHeight w:val="623" w:hRule="atLeast"/>
          <w:jc w:val="center"/>
        </w:trPr>
        <w:tc>
          <w:tcPr>
            <w:tcW w:w="561" w:type="pct"/>
            <w:tcBorders>
              <w:top w:val="nil"/>
              <w:left w:val="nil"/>
              <w:bottom w:val="nil"/>
              <w:right w:val="nil"/>
            </w:tcBorders>
            <w:noWrap w:val="0"/>
            <w:vAlign w:val="top"/>
          </w:tcPr>
          <w:p w14:paraId="4B98175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4624512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32913D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14:paraId="633AD5D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52BDE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78526AD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17E6103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09524A5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0C19B327">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7820AB6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14:paraId="507FE75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14:paraId="705CE27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u w:val="single"/>
                <w:lang w:val="en-US" w:eastAsia="zh-CN"/>
              </w:rPr>
              <w:t>黄文忠</w:t>
            </w:r>
          </w:p>
        </w:tc>
        <w:tc>
          <w:tcPr>
            <w:tcW w:w="171" w:type="pct"/>
            <w:tcBorders>
              <w:top w:val="nil"/>
              <w:left w:val="nil"/>
              <w:bottom w:val="nil"/>
              <w:right w:val="nil"/>
            </w:tcBorders>
            <w:noWrap w:val="0"/>
            <w:vAlign w:val="top"/>
          </w:tcPr>
          <w:p w14:paraId="354ABB0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14:paraId="05D0758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14:paraId="7D5EC50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454AA68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u w:val="single"/>
                <w:lang w:val="en-US" w:eastAsia="zh-CN"/>
              </w:rPr>
              <w:t>王童兵</w:t>
            </w:r>
          </w:p>
        </w:tc>
      </w:tr>
      <w:tr w14:paraId="6B18ECC7">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18FF509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14:paraId="4C29B98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14:paraId="5E71CD4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36AC00B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14:paraId="671EE8D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14:paraId="33E6147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52F583E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FBFC58E">
        <w:tblPrEx>
          <w:tblCellMar>
            <w:top w:w="0" w:type="dxa"/>
            <w:left w:w="0" w:type="dxa"/>
            <w:bottom w:w="0" w:type="dxa"/>
            <w:right w:w="0" w:type="dxa"/>
          </w:tblCellMar>
        </w:tblPrEx>
        <w:trPr>
          <w:cantSplit/>
          <w:trHeight w:val="758" w:hRule="atLeast"/>
          <w:jc w:val="center"/>
        </w:trPr>
        <w:tc>
          <w:tcPr>
            <w:tcW w:w="561" w:type="pct"/>
            <w:tcBorders>
              <w:top w:val="nil"/>
              <w:left w:val="nil"/>
              <w:bottom w:val="nil"/>
              <w:right w:val="nil"/>
            </w:tcBorders>
            <w:noWrap w:val="0"/>
            <w:vAlign w:val="top"/>
          </w:tcPr>
          <w:p w14:paraId="4CBFE65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14:paraId="24B55B2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213FC3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14:paraId="7EFAC8C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3DABE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37C571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14:paraId="5FFA44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57ACB2E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1DC0FACA">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1151D0E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14:paraId="33EF4C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2FEE5A8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BB4231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754753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14:paraId="5F82053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2C17981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40BD3B75">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7E14A4E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62A0516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713" w:type="pct"/>
            <w:tcBorders>
              <w:top w:val="nil"/>
              <w:left w:val="nil"/>
              <w:bottom w:val="nil"/>
              <w:right w:val="nil"/>
            </w:tcBorders>
            <w:noWrap w:val="0"/>
            <w:vAlign w:val="top"/>
          </w:tcPr>
          <w:p w14:paraId="192E376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4ED6F3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791A3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4C31710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698" w:type="pct"/>
            <w:tcBorders>
              <w:top w:val="nil"/>
              <w:left w:val="nil"/>
              <w:bottom w:val="nil"/>
              <w:right w:val="nil"/>
            </w:tcBorders>
            <w:noWrap w:val="0"/>
            <w:vAlign w:val="top"/>
          </w:tcPr>
          <w:p w14:paraId="2FEC957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2FAB9AD">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129B0E8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14:paraId="5FC3160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0B48644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 xml:space="preserve"> </w:t>
            </w:r>
            <w:r>
              <w:rPr>
                <w:rFonts w:hint="eastAsia" w:ascii="Times New Roman" w:hAnsi="Times New Roman" w:eastAsia="仿宋_GB2312" w:cs="Times New Roman"/>
                <w:color w:val="000000"/>
                <w:kern w:val="2"/>
                <w:sz w:val="22"/>
                <w:szCs w:val="22"/>
                <w:lang w:val="en-US" w:eastAsia="zh-CN"/>
              </w:rPr>
              <w:t>溧阳市溧城镇平陵西路31号</w:t>
            </w:r>
          </w:p>
        </w:tc>
        <w:tc>
          <w:tcPr>
            <w:tcW w:w="171" w:type="pct"/>
            <w:tcBorders>
              <w:top w:val="nil"/>
              <w:left w:val="nil"/>
              <w:bottom w:val="nil"/>
              <w:right w:val="nil"/>
            </w:tcBorders>
            <w:noWrap w:val="0"/>
            <w:vAlign w:val="top"/>
          </w:tcPr>
          <w:p w14:paraId="1B202DD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04F1B5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14:paraId="03A4A99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AE96C59">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安徽省六安市金寨现代产业园区梅山湖路上海大厦22层</w:t>
            </w:r>
          </w:p>
        </w:tc>
      </w:tr>
      <w:tr w14:paraId="14E5C85E">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2E9F31F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76B5BAE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118CE1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9F8098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06A051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35DED5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086EF02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1F1692B8">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5768647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14:paraId="6BE5026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14:paraId="1C49C36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交通银行常州溧阳支行</w:t>
            </w:r>
          </w:p>
        </w:tc>
        <w:tc>
          <w:tcPr>
            <w:tcW w:w="171" w:type="pct"/>
            <w:tcBorders>
              <w:top w:val="nil"/>
              <w:left w:val="nil"/>
              <w:bottom w:val="nil"/>
              <w:right w:val="nil"/>
            </w:tcBorders>
            <w:noWrap w:val="0"/>
            <w:vAlign w:val="top"/>
          </w:tcPr>
          <w:p w14:paraId="0A25FFB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6FE1E51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14:paraId="0E69050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698" w:type="pct"/>
            <w:tcBorders>
              <w:top w:val="nil"/>
              <w:left w:val="nil"/>
              <w:bottom w:val="nil"/>
              <w:right w:val="nil"/>
            </w:tcBorders>
            <w:noWrap w:val="0"/>
            <w:vAlign w:val="top"/>
          </w:tcPr>
          <w:p w14:paraId="49F7957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eastAsia" w:ascii="Times New Roman" w:hAnsi="Times New Roman" w:eastAsia="仿宋_GB2312" w:cs="Times New Roman"/>
                <w:color w:val="000000"/>
                <w:kern w:val="2"/>
                <w:sz w:val="22"/>
                <w:szCs w:val="22"/>
                <w:lang w:val="en-US" w:eastAsia="zh-CN"/>
              </w:rPr>
              <w:t>中国工商银行股份有限公司金寨支行</w:t>
            </w:r>
          </w:p>
        </w:tc>
      </w:tr>
      <w:tr w14:paraId="01C92F25">
        <w:tblPrEx>
          <w:tblCellMar>
            <w:top w:w="0" w:type="dxa"/>
            <w:left w:w="0" w:type="dxa"/>
            <w:bottom w:w="0" w:type="dxa"/>
            <w:right w:w="0" w:type="dxa"/>
          </w:tblCellMar>
        </w:tblPrEx>
        <w:trPr>
          <w:cantSplit/>
          <w:trHeight w:val="283" w:hRule="atLeast"/>
          <w:jc w:val="center"/>
        </w:trPr>
        <w:tc>
          <w:tcPr>
            <w:tcW w:w="561" w:type="pct"/>
            <w:tcBorders>
              <w:top w:val="nil"/>
              <w:left w:val="nil"/>
              <w:bottom w:val="nil"/>
              <w:right w:val="nil"/>
            </w:tcBorders>
            <w:noWrap w:val="0"/>
            <w:vAlign w:val="top"/>
          </w:tcPr>
          <w:p w14:paraId="60F0953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1BD9B89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59B19C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7AD65EB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493F38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043A3F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1226672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32FC97B">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08E4C28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14:paraId="295D2D6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14:paraId="30DC476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324006100018150386330</w:t>
            </w:r>
            <w:r>
              <w:rPr>
                <w:rFonts w:hint="eastAsia" w:ascii="Times New Roman" w:hAnsi="Times New Roman" w:eastAsia="仿宋_GB2312" w:cs="Times New Roman"/>
                <w:color w:val="000000"/>
                <w:kern w:val="2"/>
                <w:sz w:val="22"/>
                <w:szCs w:val="22"/>
                <w:lang w:val="en-US" w:eastAsia="zh-CN"/>
              </w:rPr>
              <w:t xml:space="preserve"> </w:t>
            </w:r>
          </w:p>
        </w:tc>
        <w:tc>
          <w:tcPr>
            <w:tcW w:w="171" w:type="pct"/>
            <w:tcBorders>
              <w:top w:val="nil"/>
              <w:left w:val="nil"/>
              <w:bottom w:val="nil"/>
              <w:right w:val="nil"/>
            </w:tcBorders>
            <w:noWrap w:val="0"/>
            <w:vAlign w:val="top"/>
          </w:tcPr>
          <w:p w14:paraId="5AC9252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522AE1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14:paraId="4B36183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3743BC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1</w:t>
            </w:r>
            <w:r>
              <w:rPr>
                <w:rFonts w:hint="eastAsia" w:ascii="Times New Roman" w:hAnsi="Times New Roman" w:eastAsia="仿宋_GB2312" w:cs="Times New Roman"/>
                <w:color w:val="000000"/>
                <w:kern w:val="2"/>
                <w:sz w:val="22"/>
                <w:szCs w:val="22"/>
                <w:lang w:val="en-US" w:eastAsia="zh-CN"/>
              </w:rPr>
              <w:t>314000209300122508</w:t>
            </w:r>
          </w:p>
        </w:tc>
      </w:tr>
      <w:tr w14:paraId="331AF4D3">
        <w:tblPrEx>
          <w:tblCellMar>
            <w:top w:w="0" w:type="dxa"/>
            <w:left w:w="0" w:type="dxa"/>
            <w:bottom w:w="0" w:type="dxa"/>
            <w:right w:w="0" w:type="dxa"/>
          </w:tblCellMar>
        </w:tblPrEx>
        <w:trPr>
          <w:cantSplit/>
          <w:trHeight w:val="80" w:hRule="atLeast"/>
          <w:jc w:val="center"/>
        </w:trPr>
        <w:tc>
          <w:tcPr>
            <w:tcW w:w="561" w:type="pct"/>
            <w:tcBorders>
              <w:top w:val="nil"/>
              <w:left w:val="nil"/>
              <w:bottom w:val="nil"/>
              <w:right w:val="nil"/>
            </w:tcBorders>
            <w:noWrap w:val="0"/>
            <w:vAlign w:val="top"/>
          </w:tcPr>
          <w:p w14:paraId="44D8BE8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8AD6E3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71AC24D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4D0AC69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0B04D71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1B784C9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6AA80AD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9624937">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07793FD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14:paraId="3B1237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57FBFBF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213300</w:t>
            </w:r>
          </w:p>
        </w:tc>
        <w:tc>
          <w:tcPr>
            <w:tcW w:w="171" w:type="pct"/>
            <w:tcBorders>
              <w:top w:val="nil"/>
              <w:left w:val="nil"/>
              <w:bottom w:val="nil"/>
              <w:right w:val="nil"/>
            </w:tcBorders>
            <w:noWrap w:val="0"/>
            <w:vAlign w:val="top"/>
          </w:tcPr>
          <w:p w14:paraId="67635BA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B81DC9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14:paraId="1BC9371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605EA47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23</w:t>
            </w:r>
            <w:r>
              <w:rPr>
                <w:rFonts w:hint="eastAsia" w:ascii="Times New Roman" w:hAnsi="Times New Roman" w:eastAsia="仿宋_GB2312" w:cs="Times New Roman"/>
                <w:color w:val="000000"/>
                <w:kern w:val="2"/>
                <w:sz w:val="24"/>
                <w:szCs w:val="24"/>
                <w:lang w:val="en-US" w:eastAsia="zh-CN"/>
              </w:rPr>
              <w:t>7265</w:t>
            </w:r>
          </w:p>
        </w:tc>
      </w:tr>
      <w:tr w14:paraId="3BBC7A3C">
        <w:tblPrEx>
          <w:tblCellMar>
            <w:top w:w="0" w:type="dxa"/>
            <w:left w:w="0" w:type="dxa"/>
            <w:bottom w:w="0" w:type="dxa"/>
            <w:right w:w="0" w:type="dxa"/>
          </w:tblCellMar>
        </w:tblPrEx>
        <w:trPr>
          <w:cantSplit/>
          <w:trHeight w:val="80" w:hRule="atLeast"/>
          <w:jc w:val="center"/>
        </w:trPr>
        <w:tc>
          <w:tcPr>
            <w:tcW w:w="561" w:type="pct"/>
            <w:tcBorders>
              <w:top w:val="nil"/>
              <w:left w:val="nil"/>
              <w:bottom w:val="nil"/>
              <w:right w:val="nil"/>
            </w:tcBorders>
            <w:noWrap w:val="0"/>
            <w:vAlign w:val="top"/>
          </w:tcPr>
          <w:p w14:paraId="3FBD1A3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5A24B68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0602352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1C85C8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59CE3A3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0B4902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7ECD6BD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24A103E">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7C71AA6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14:paraId="3C4D0F8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19BDB3F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13862699471</w:t>
            </w:r>
          </w:p>
        </w:tc>
        <w:tc>
          <w:tcPr>
            <w:tcW w:w="171" w:type="pct"/>
            <w:tcBorders>
              <w:top w:val="nil"/>
              <w:left w:val="nil"/>
              <w:bottom w:val="nil"/>
              <w:right w:val="nil"/>
            </w:tcBorders>
            <w:noWrap w:val="0"/>
            <w:vAlign w:val="top"/>
          </w:tcPr>
          <w:p w14:paraId="6AF609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9D8646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14:paraId="6908504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1F8A78E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17729976622</w:t>
            </w:r>
          </w:p>
        </w:tc>
      </w:tr>
      <w:tr w14:paraId="1C626650">
        <w:tblPrEx>
          <w:tblCellMar>
            <w:top w:w="0" w:type="dxa"/>
            <w:left w:w="0" w:type="dxa"/>
            <w:bottom w:w="0" w:type="dxa"/>
            <w:right w:w="0" w:type="dxa"/>
          </w:tblCellMar>
        </w:tblPrEx>
        <w:trPr>
          <w:cantSplit/>
          <w:trHeight w:val="381" w:hRule="atLeast"/>
          <w:jc w:val="center"/>
        </w:trPr>
        <w:tc>
          <w:tcPr>
            <w:tcW w:w="561" w:type="pct"/>
            <w:tcBorders>
              <w:top w:val="nil"/>
              <w:left w:val="nil"/>
              <w:bottom w:val="nil"/>
              <w:right w:val="nil"/>
            </w:tcBorders>
            <w:noWrap w:val="0"/>
            <w:vAlign w:val="top"/>
          </w:tcPr>
          <w:p w14:paraId="1C0B936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048A5CD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154DA1A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B8CB32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7DF3F8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486B729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246568A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4511E572">
        <w:tblPrEx>
          <w:tblCellMar>
            <w:top w:w="0" w:type="dxa"/>
            <w:left w:w="0" w:type="dxa"/>
            <w:bottom w:w="0" w:type="dxa"/>
            <w:right w:w="0" w:type="dxa"/>
          </w:tblCellMar>
        </w:tblPrEx>
        <w:trPr>
          <w:cantSplit/>
          <w:trHeight w:val="573" w:hRule="atLeast"/>
          <w:jc w:val="center"/>
        </w:trPr>
        <w:tc>
          <w:tcPr>
            <w:tcW w:w="561" w:type="pct"/>
            <w:tcBorders>
              <w:top w:val="nil"/>
              <w:left w:val="nil"/>
              <w:bottom w:val="nil"/>
              <w:right w:val="nil"/>
            </w:tcBorders>
            <w:noWrap w:val="0"/>
            <w:vAlign w:val="top"/>
          </w:tcPr>
          <w:p w14:paraId="20E365E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14:paraId="42720A7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7C1D21F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1575B1C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565" w:type="pct"/>
            <w:tcBorders>
              <w:top w:val="nil"/>
              <w:left w:val="nil"/>
              <w:bottom w:val="nil"/>
              <w:right w:val="nil"/>
            </w:tcBorders>
            <w:noWrap w:val="0"/>
            <w:vAlign w:val="top"/>
          </w:tcPr>
          <w:p w14:paraId="0E30994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14:paraId="703299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615BB2D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bl>
    <w:p w14:paraId="6FBCB92D">
      <w:pPr>
        <w:rPr>
          <w:rFonts w:hint="default" w:ascii="Times New Roman" w:hAnsi="Times New Roman" w:eastAsia="仿宋" w:cs="Times New Roman"/>
          <w:sz w:val="28"/>
          <w:szCs w:val="28"/>
          <w:lang w:val="en-US" w:eastAsia="zh-CN"/>
        </w:rPr>
      </w:pPr>
    </w:p>
    <w:p w14:paraId="097EC977">
      <w:pPr>
        <w:rPr>
          <w:rFonts w:hint="default" w:ascii="Times New Roman" w:hAnsi="Times New Roman" w:eastAsia="仿宋" w:cs="Times New Roman"/>
          <w:sz w:val="28"/>
          <w:szCs w:val="28"/>
          <w:lang w:val="en-US" w:eastAsia="zh-CN"/>
        </w:rPr>
      </w:pPr>
    </w:p>
    <w:p w14:paraId="369383F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附件1：安全生产协议书</w:t>
      </w:r>
    </w:p>
    <w:p w14:paraId="5149F2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公文小标宋" w:cs="Times New Roman"/>
          <w:b w:val="0"/>
          <w:bCs/>
          <w:kern w:val="0"/>
          <w:sz w:val="44"/>
          <w:szCs w:val="44"/>
          <w:lang w:val="en-US" w:eastAsia="zh-CN"/>
        </w:rPr>
      </w:pPr>
      <w:r>
        <w:rPr>
          <w:rFonts w:hint="default" w:ascii="Times New Roman" w:hAnsi="Times New Roman" w:eastAsia="方正公文小标宋" w:cs="Times New Roman"/>
          <w:b w:val="0"/>
          <w:bCs/>
          <w:kern w:val="0"/>
          <w:sz w:val="44"/>
          <w:szCs w:val="44"/>
          <w:lang w:val="en-US" w:eastAsia="zh-CN"/>
        </w:rPr>
        <w:t>安全生产协议书</w:t>
      </w:r>
    </w:p>
    <w:p w14:paraId="04A59814">
      <w:pPr>
        <w:keepNext w:val="0"/>
        <w:keepLines w:val="0"/>
        <w:pageBreakBefore w:val="0"/>
        <w:widowControl w:val="0"/>
        <w:kinsoku/>
        <w:wordWrap/>
        <w:overflowPunct/>
        <w:topLinePunct w:val="0"/>
        <w:autoSpaceDE/>
        <w:autoSpaceDN/>
        <w:bidi w:val="0"/>
        <w:adjustRightInd/>
        <w:snapToGrid/>
        <w:spacing w:line="480" w:lineRule="exact"/>
        <w:ind w:left="1400" w:hanging="1400" w:hangingChars="5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金府花园</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rPr>
        <w:t>】</w:t>
      </w:r>
    </w:p>
    <w:p w14:paraId="7DE0268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施工地点：【</w:t>
      </w:r>
      <w:r>
        <w:rPr>
          <w:rFonts w:hint="eastAsia" w:ascii="仿宋_GB2312" w:hAnsi="仿宋_GB2312" w:eastAsia="仿宋_GB2312" w:cs="仿宋_GB2312"/>
          <w:sz w:val="28"/>
          <w:szCs w:val="28"/>
          <w:lang w:val="en-US" w:eastAsia="zh-CN"/>
        </w:rPr>
        <w:t>安徽省六安市金寨县</w:t>
      </w:r>
      <w:r>
        <w:rPr>
          <w:rFonts w:hint="default" w:ascii="Times New Roman" w:hAnsi="Times New Roman" w:eastAsia="仿宋_GB2312" w:cs="Times New Roman"/>
          <w:sz w:val="28"/>
          <w:szCs w:val="28"/>
        </w:rPr>
        <w:t>】</w:t>
      </w:r>
    </w:p>
    <w:p w14:paraId="24531CD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方：【</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rPr>
        <w:t>】</w:t>
      </w:r>
    </w:p>
    <w:p w14:paraId="05337DD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方：【</w:t>
      </w:r>
      <w:r>
        <w:rPr>
          <w:rFonts w:hint="eastAsia" w:ascii="Times New Roman" w:hAnsi="Times New Roman" w:eastAsia="仿宋_GB2312" w:cs="Times New Roman"/>
          <w:sz w:val="28"/>
          <w:szCs w:val="28"/>
          <w:lang w:val="en-US" w:eastAsia="zh-CN"/>
        </w:rPr>
        <w:t>安徽和盛建设集团有限公司</w:t>
      </w:r>
      <w:r>
        <w:rPr>
          <w:rFonts w:hint="default" w:ascii="Times New Roman" w:hAnsi="Times New Roman" w:eastAsia="仿宋_GB2312" w:cs="Times New Roman"/>
          <w:sz w:val="28"/>
          <w:szCs w:val="28"/>
        </w:rPr>
        <w:t>】</w:t>
      </w:r>
    </w:p>
    <w:p w14:paraId="5E2017B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为贯彻“安全第一，预防为主”的方针，确保【</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金府花园</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rPr>
        <w:t>施工安全，依照国家、地方的有关法规和政策，甲、乙双方经充分协商，特签订本安全生产协议书。</w:t>
      </w:r>
    </w:p>
    <w:p w14:paraId="2E2D29D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一、</w:t>
      </w:r>
      <w:r>
        <w:rPr>
          <w:rFonts w:hint="default" w:ascii="Times New Roman" w:hAnsi="Times New Roman" w:eastAsia="黑体" w:cs="Times New Roman"/>
          <w:b w:val="0"/>
          <w:bCs w:val="0"/>
          <w:sz w:val="28"/>
          <w:szCs w:val="28"/>
          <w:lang w:val="en-US" w:eastAsia="zh-CN"/>
        </w:rPr>
        <w:t>甲</w:t>
      </w:r>
      <w:r>
        <w:rPr>
          <w:rFonts w:hint="default" w:ascii="Times New Roman" w:hAnsi="Times New Roman" w:eastAsia="黑体" w:cs="Times New Roman"/>
          <w:b w:val="0"/>
          <w:bCs w:val="0"/>
          <w:sz w:val="28"/>
          <w:szCs w:val="28"/>
        </w:rPr>
        <w:t>方职责</w:t>
      </w:r>
    </w:p>
    <w:p w14:paraId="7D529A4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严格遵守国家有关安全生产的法律法规，认真执行工程承包合同中的有关安全要求。</w:t>
      </w:r>
    </w:p>
    <w:p w14:paraId="0DA5BA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按照“安全第一、预防为主”和坚持“管生产必须管安全”的原则进行安全生产管理。</w:t>
      </w:r>
    </w:p>
    <w:p w14:paraId="5A37987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组织对施工现场安全生产检查，监督</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及时处理发现的各种安全隐患。</w:t>
      </w:r>
    </w:p>
    <w:p w14:paraId="06CF70E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二、</w:t>
      </w:r>
      <w:r>
        <w:rPr>
          <w:rFonts w:hint="default" w:ascii="Times New Roman" w:hAnsi="Times New Roman" w:eastAsia="黑体" w:cs="Times New Roman"/>
          <w:b w:val="0"/>
          <w:bCs w:val="0"/>
          <w:sz w:val="28"/>
          <w:szCs w:val="28"/>
          <w:lang w:val="en-US" w:eastAsia="zh-CN"/>
        </w:rPr>
        <w:t>乙方</w:t>
      </w:r>
      <w:r>
        <w:rPr>
          <w:rFonts w:hint="default" w:ascii="Times New Roman" w:hAnsi="Times New Roman" w:eastAsia="黑体" w:cs="Times New Roman"/>
          <w:b w:val="0"/>
          <w:bCs w:val="0"/>
          <w:sz w:val="28"/>
          <w:szCs w:val="28"/>
        </w:rPr>
        <w:t>职责</w:t>
      </w:r>
    </w:p>
    <w:p w14:paraId="1E377A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严格遵守国家有关安全生产的法律法规和有关安全生产的规定，认真执行工程承包合同中的有关安全要求。</w:t>
      </w:r>
    </w:p>
    <w:p w14:paraId="7970E9C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坚持“安全第一、预防为主”和“管生产必须管安全”的原则，加强安全生产宣传教育，增强作业人员安全生产意识。参加施工作业人员应熟知和遵守本工种的各项安全技术操作规程，按施工规范落实相应的安全措施，从事特殊工种的人员应经过专业培训，获得《安全操作合格证》。</w:t>
      </w:r>
    </w:p>
    <w:p w14:paraId="525F5F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操作人必须持证上岗，按规定穿戴防护用品，施工现场如出现作业人员无证、违章操作现象时，</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必须承担管理责任。</w:t>
      </w:r>
    </w:p>
    <w:p w14:paraId="66F929C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所有施工机具设备均应定期检查，符合施工要求，保证其经常处于完好状态；不合格的机具、设备和劳动保护用品严禁使用。</w:t>
      </w:r>
    </w:p>
    <w:p w14:paraId="58D2FA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在施工过程中，必须注意对地下管线、地面构筑物用电设施和周围绿化及过往人员的保护。如遇有不明情况，应及时向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联系，采取有效保护措施，否则在施工过程中造成的地下管线和地表构造物等的损坏，由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承担全部经济损失或法律责任。</w:t>
      </w:r>
    </w:p>
    <w:p w14:paraId="5CD09B2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在任何时候都应采取各种合理的预防措施，防止其员工发生任何违法、违禁、暴力或妨碍治安的行为。</w:t>
      </w:r>
    </w:p>
    <w:p w14:paraId="3EACCD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若在施工过程中发生人员伤亡（含刑事案件）、火灾、爆炸等事故，</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必须立即按有关规定及时上报</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及其政府主管部门，事故责任以及事故损失均由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负责。</w:t>
      </w:r>
    </w:p>
    <w:p w14:paraId="1C3C601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按照本工程项目特点，组织制定本工程实施中的生产安全事故应急救援预案</w:t>
      </w:r>
      <w:r>
        <w:rPr>
          <w:rFonts w:hint="default" w:ascii="Times New Roman" w:hAnsi="Times New Roman" w:eastAsia="仿宋_GB2312" w:cs="Times New Roman"/>
          <w:sz w:val="28"/>
          <w:szCs w:val="28"/>
          <w:lang w:eastAsia="zh-CN"/>
        </w:rPr>
        <w:t>。</w:t>
      </w:r>
    </w:p>
    <w:p w14:paraId="7F3C992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三、违约责任</w:t>
      </w:r>
    </w:p>
    <w:p w14:paraId="2CC092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如因乙方或甲方违约造成安全事故，将依法追究责任。</w:t>
      </w:r>
    </w:p>
    <w:p w14:paraId="134C872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四、其他事项</w:t>
      </w:r>
    </w:p>
    <w:p w14:paraId="33FDC8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本协议未尽事宜，依据有关法规、规章处理。</w:t>
      </w:r>
    </w:p>
    <w:p w14:paraId="4BC6F99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本安全生产协议书作为【</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金府花园</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rPr>
        <w:t xml:space="preserve">】合同书的附件，与该合同具有同等效力，自签订之日起生效。 </w:t>
      </w:r>
    </w:p>
    <w:p w14:paraId="635F40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本责任书一式【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lang w:val="en-US" w:eastAsia="zh-CN"/>
        </w:rPr>
        <w:t>甲</w:t>
      </w:r>
      <w:r>
        <w:rPr>
          <w:rFonts w:hint="default" w:ascii="Times New Roman" w:hAnsi="Times New Roman" w:eastAsia="仿宋_GB2312" w:cs="Times New Roman"/>
          <w:sz w:val="28"/>
          <w:szCs w:val="28"/>
        </w:rPr>
        <w:t>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lang w:val="en-US" w:eastAsia="zh-CN"/>
        </w:rPr>
        <w:t>乙</w:t>
      </w:r>
      <w:r>
        <w:rPr>
          <w:rFonts w:hint="default" w:ascii="Times New Roman" w:hAnsi="Times New Roman" w:eastAsia="仿宋_GB2312" w:cs="Times New Roman"/>
          <w:sz w:val="28"/>
          <w:szCs w:val="28"/>
        </w:rPr>
        <w:t>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】份，合同履行期间有效。</w:t>
      </w:r>
    </w:p>
    <w:p w14:paraId="6CD58F5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14:paraId="0BBC9818">
      <w:pPr>
        <w:keepNext w:val="0"/>
        <w:keepLines w:val="0"/>
        <w:pageBreakBefore w:val="0"/>
        <w:widowControl w:val="0"/>
        <w:tabs>
          <w:tab w:val="left" w:pos="415"/>
        </w:tabs>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盖章）</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盖章）</w:t>
      </w:r>
      <w:r>
        <w:rPr>
          <w:rFonts w:hint="default" w:ascii="Times New Roman" w:hAnsi="Times New Roman" w:eastAsia="仿宋_GB2312" w:cs="Times New Roman"/>
          <w:sz w:val="28"/>
          <w:szCs w:val="28"/>
        </w:rPr>
        <w:t xml:space="preserve">： </w:t>
      </w:r>
    </w:p>
    <w:p w14:paraId="64ACC9CD">
      <w:pPr>
        <w:keepNext w:val="0"/>
        <w:keepLines w:val="0"/>
        <w:pageBreakBefore w:val="0"/>
        <w:widowControl w:val="0"/>
        <w:tabs>
          <w:tab w:val="left" w:pos="415"/>
        </w:tabs>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p>
    <w:p w14:paraId="366AF53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法定代表人或委托代理人：</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法定代表人或委托代理人：</w:t>
      </w:r>
    </w:p>
    <w:p w14:paraId="6BD6D16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签字）</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签字）</w:t>
      </w:r>
    </w:p>
    <w:p w14:paraId="1DFBECA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p>
    <w:p w14:paraId="7DA6871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年    月    日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p w14:paraId="6431FAD2">
      <w:pPr>
        <w:snapToGrid w:val="0"/>
        <w:spacing w:line="360" w:lineRule="auto"/>
        <w:rPr>
          <w:rFonts w:hint="default" w:ascii="Times New Roman" w:hAnsi="Times New Roman" w:cs="Times New Roman"/>
          <w:sz w:val="24"/>
        </w:rPr>
      </w:pPr>
    </w:p>
    <w:p w14:paraId="653DA5C0">
      <w:pP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附件2：廉政协议书</w:t>
      </w:r>
    </w:p>
    <w:p w14:paraId="50B3D8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公文小标宋" w:cs="Times New Roman"/>
          <w:b w:val="0"/>
          <w:bCs/>
          <w:kern w:val="0"/>
          <w:sz w:val="44"/>
          <w:szCs w:val="44"/>
          <w:lang w:val="en-US" w:eastAsia="zh-CN"/>
        </w:rPr>
      </w:pPr>
      <w:r>
        <w:rPr>
          <w:rFonts w:hint="default" w:ascii="Times New Roman" w:hAnsi="Times New Roman" w:eastAsia="方正公文小标宋" w:cs="Times New Roman"/>
          <w:b w:val="0"/>
          <w:bCs/>
          <w:kern w:val="0"/>
          <w:sz w:val="44"/>
          <w:szCs w:val="44"/>
          <w:lang w:val="en-US" w:eastAsia="zh-CN"/>
        </w:rPr>
        <w:t>廉政协议书</w:t>
      </w:r>
    </w:p>
    <w:p w14:paraId="0B3C7D0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根据相关廉政建设的规定，为做好施工劳务分包服务中的党风廉政建设，保证劳务分包服务高效优质，保证资金的安全和有效使用以及投资效益，</w:t>
      </w:r>
      <w:r>
        <w:rPr>
          <w:rFonts w:hint="default" w:ascii="Times New Roman" w:hAnsi="Times New Roman" w:eastAsia="仿宋_GB2312" w:cs="Times New Roman"/>
          <w:sz w:val="28"/>
          <w:szCs w:val="28"/>
          <w:u w:val="none"/>
          <w:lang w:eastAsia="zh-CN"/>
        </w:rPr>
        <w:t>【</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rPr>
        <w:t>(以下称甲方)与</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安徽和盛建设集团有限公司</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rPr>
        <w:t>(以下称乙方)，特订立如下合同。</w:t>
      </w:r>
    </w:p>
    <w:p w14:paraId="3207970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rPr>
        <w:t xml:space="preserve">第一条 </w:t>
      </w:r>
      <w:r>
        <w:rPr>
          <w:rFonts w:hint="default" w:ascii="Times New Roman" w:hAnsi="Times New Roman" w:eastAsia="黑体" w:cs="Times New Roman"/>
          <w:b w:val="0"/>
          <w:bCs w:val="0"/>
          <w:sz w:val="28"/>
          <w:szCs w:val="28"/>
          <w:lang w:val="en-US" w:eastAsia="zh-CN"/>
        </w:rPr>
        <w:t>双方的权利和义务</w:t>
      </w:r>
    </w:p>
    <w:p w14:paraId="12A5DE2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(一)严格遵守党和国家有关法律法规的有关规定。</w:t>
      </w:r>
    </w:p>
    <w:p w14:paraId="511FE54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(二)严格遵守【</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金府花园</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lang w:val="en-US" w:eastAsia="zh-CN"/>
        </w:rPr>
        <w:t>】合同文件，自觉按合同办事。</w:t>
      </w:r>
    </w:p>
    <w:p w14:paraId="7487FC4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(三)双方的业务活动坚持公开、公正、诚信、透明的原则(除法律认定的商业秘密和合同文件另有规定之外)</w:t>
      </w:r>
      <w:r>
        <w:rPr>
          <w:rFonts w:hint="default" w:ascii="Times New Roman" w:hAnsi="Times New Roman" w:eastAsia="仿宋_GB2312" w:cs="Times New Roman"/>
          <w:sz w:val="28"/>
          <w:szCs w:val="28"/>
        </w:rPr>
        <w:t>，不得损害国家和集体利益，违反工程建设管理规章制度。</w:t>
      </w:r>
    </w:p>
    <w:p w14:paraId="27AB4DA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(四)建立健全廉政制度，开展廉政教育，设立廉政告示牌，公布举报电话，监督并认真查处违法违纪行为。</w:t>
      </w:r>
    </w:p>
    <w:p w14:paraId="64E1340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(五)发现对方在业务活动中有违反廉政规定的行为，有及时提醒对方纠正的权利和义务。</w:t>
      </w:r>
    </w:p>
    <w:p w14:paraId="442FABA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(六)发现对方严重违反本合同义务条款的行为，有向其上级有关部门举报、建议给予处理并要求告之处理结果的权利。</w:t>
      </w:r>
    </w:p>
    <w:p w14:paraId="5132132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第二条 甲方的义务</w:t>
      </w:r>
    </w:p>
    <w:p w14:paraId="2653DA3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(一)甲方及其工作人员不得索要或接受承包人的礼金、有价证券和贵重物品，不得在承包人处报销任何应由甲方或个人支付的费用等。</w:t>
      </w:r>
    </w:p>
    <w:p w14:paraId="0826762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(二)甲方工作人员不得参加乙方安排的超标准宴请和娱乐活动;不得接受乙方提供的通讯工具、交通工具和高档办公用品等。</w:t>
      </w:r>
    </w:p>
    <w:p w14:paraId="64B6A3E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(三)甲方及其工作人员不得要求或者接受乙方为其住房装修、婚丧嫁娶活动、配偶子女的工作安排以及出国出境、旅游等提供方便等。</w:t>
      </w:r>
    </w:p>
    <w:p w14:paraId="709B1B0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(四)甲方工作人员的配偶、子女不得从事与甲方工程有关的材料设备供应、工程分包、劳务等经济活动等。</w:t>
      </w:r>
    </w:p>
    <w:p w14:paraId="18620DA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(五)甲方及其工作人员不得以任何理由向乙方推荐分包单位，不得要求乙方购买合同规定外的材料和设备。</w:t>
      </w:r>
    </w:p>
    <w:p w14:paraId="4879F73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第三条 乙方义务</w:t>
      </w:r>
    </w:p>
    <w:p w14:paraId="6087D4B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(一)乙方不得以任何理由向甲方及其工作人员行贿或馈赠礼金、有价证券、贵重礼品。</w:t>
      </w:r>
    </w:p>
    <w:p w14:paraId="648ADAF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(二)乙方不得以任何名义为甲方及其工作人员报销应由甲方单位或个人支付的任何费用。</w:t>
      </w:r>
    </w:p>
    <w:p w14:paraId="2488FEB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(三)乙方不得以任何理由安排甲方工作人员参加超标准宴请及娱乐活动。</w:t>
      </w:r>
    </w:p>
    <w:p w14:paraId="1631776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(四)乙方不得为甲方单位和个人购置或提供通讯工具、交通工具和高档办公用品等。</w:t>
      </w:r>
    </w:p>
    <w:p w14:paraId="0BD338F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第四条 违约责任</w:t>
      </w:r>
    </w:p>
    <w:p w14:paraId="403FF9C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(一)甲方及其工作人员违反本合同第一、二条，按管理权限，依据有关规定给予党纪、政纪或组织处理；涉嫌犯罪的，移交司法机关追究刑事责任；给乙方造成经济损失的，应予以赔偿。</w:t>
      </w:r>
    </w:p>
    <w:p w14:paraId="305533B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(二)乙方及其工作人员违反本合同第一、三条，依据有关规定记入其信用档案，并报上级主管部门给乙方相应的处罚。</w:t>
      </w:r>
    </w:p>
    <w:p w14:paraId="2E9E2E0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第五条 双方约定</w:t>
      </w:r>
    </w:p>
    <w:p w14:paraId="5AC7B30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11E4700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第六条</w:t>
      </w:r>
      <w:r>
        <w:rPr>
          <w:rFonts w:hint="default" w:ascii="Times New Roman" w:hAnsi="Times New Roman" w:eastAsia="仿宋_GB2312" w:cs="Times New Roman"/>
          <w:sz w:val="28"/>
          <w:szCs w:val="28"/>
        </w:rPr>
        <w:t xml:space="preserve"> 本合同有效期为甲方、乙方双方签署之日起至该工程项目竣工验收后止。</w:t>
      </w:r>
    </w:p>
    <w:p w14:paraId="6451BED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第七条</w:t>
      </w:r>
      <w:r>
        <w:rPr>
          <w:rFonts w:hint="default" w:ascii="Times New Roman" w:hAnsi="Times New Roman" w:eastAsia="仿宋_GB2312" w:cs="Times New Roman"/>
          <w:sz w:val="28"/>
          <w:szCs w:val="28"/>
        </w:rPr>
        <w:t xml:space="preserve"> 本合同作为</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金府花园</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项目合同的附件,与</w:t>
      </w:r>
      <w:r>
        <w:rPr>
          <w:rFonts w:hint="default" w:ascii="Times New Roman" w:hAnsi="Times New Roman" w:eastAsia="仿宋_GB2312" w:cs="Times New Roman"/>
          <w:sz w:val="28"/>
          <w:szCs w:val="28"/>
          <w:lang w:val="en-US" w:eastAsia="zh-CN"/>
        </w:rPr>
        <w:t>主</w:t>
      </w:r>
      <w:r>
        <w:rPr>
          <w:rFonts w:hint="default" w:ascii="Times New Roman" w:hAnsi="Times New Roman" w:eastAsia="仿宋_GB2312" w:cs="Times New Roman"/>
          <w:sz w:val="28"/>
          <w:szCs w:val="28"/>
        </w:rPr>
        <w:t>合同具有同等的法律效力，经合同双方签署立即生效。</w:t>
      </w:r>
    </w:p>
    <w:p w14:paraId="427B768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第八条</w:t>
      </w:r>
      <w:r>
        <w:rPr>
          <w:rFonts w:hint="default" w:ascii="Times New Roman" w:hAnsi="Times New Roman" w:eastAsia="仿宋_GB2312" w:cs="Times New Roman"/>
          <w:sz w:val="28"/>
          <w:szCs w:val="28"/>
        </w:rPr>
        <w:t xml:space="preserve"> 本</w:t>
      </w:r>
      <w:r>
        <w:rPr>
          <w:rFonts w:hint="default" w:ascii="Times New Roman" w:hAnsi="Times New Roman" w:eastAsia="仿宋_GB2312" w:cs="Times New Roman"/>
          <w:sz w:val="28"/>
          <w:szCs w:val="28"/>
          <w:lang w:val="en-US" w:eastAsia="zh-CN"/>
        </w:rPr>
        <w:t>协议</w:t>
      </w:r>
      <w:r>
        <w:rPr>
          <w:rFonts w:hint="default" w:ascii="Times New Roman" w:hAnsi="Times New Roman" w:eastAsia="仿宋_GB2312" w:cs="Times New Roman"/>
          <w:sz w:val="28"/>
          <w:szCs w:val="28"/>
        </w:rPr>
        <w:t>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】份，乙方执【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】份，甲方执【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】份，合同履行期间有效。</w:t>
      </w:r>
    </w:p>
    <w:p w14:paraId="5D1CCDE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lang w:eastAsia="zh-CN"/>
        </w:rPr>
      </w:pPr>
    </w:p>
    <w:p w14:paraId="4CC44C3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lang w:eastAsia="zh-CN"/>
        </w:rPr>
      </w:pPr>
    </w:p>
    <w:p w14:paraId="1AEACF2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本页为签署页，以下无正文）</w:t>
      </w:r>
    </w:p>
    <w:p w14:paraId="27592288">
      <w:pPr>
        <w:keepNext w:val="0"/>
        <w:keepLines w:val="0"/>
        <w:pageBreakBefore w:val="0"/>
        <w:widowControl w:val="0"/>
        <w:kinsoku/>
        <w:wordWrap/>
        <w:overflowPunct/>
        <w:topLinePunct w:val="0"/>
        <w:autoSpaceDE/>
        <w:autoSpaceDN/>
        <w:bidi w:val="0"/>
        <w:adjustRightInd/>
        <w:snapToGrid/>
        <w:spacing w:line="480" w:lineRule="exact"/>
        <w:ind w:firstLine="840" w:firstLineChars="300"/>
        <w:jc w:val="left"/>
        <w:textAlignment w:val="auto"/>
        <w:rPr>
          <w:rFonts w:hint="default" w:ascii="Times New Roman" w:hAnsi="Times New Roman" w:eastAsia="仿宋_GB2312" w:cs="Times New Roman"/>
          <w:sz w:val="28"/>
          <w:szCs w:val="28"/>
        </w:rPr>
      </w:pPr>
    </w:p>
    <w:p w14:paraId="49607101">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甲方（盖章）：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乙方（盖章）：</w:t>
      </w:r>
    </w:p>
    <w:p w14:paraId="738A2F8A">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6B9328C">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法定代表人或授权代理人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法定代表人或授权代理人</w:t>
      </w:r>
    </w:p>
    <w:p w14:paraId="70D65BFF">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（签字）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（签字）</w:t>
      </w:r>
    </w:p>
    <w:p w14:paraId="224C5DF3">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p>
    <w:p w14:paraId="2EEC457A">
      <w:pPr>
        <w:ind w:firstLine="1120" w:firstLineChars="400"/>
      </w:pPr>
      <w:r>
        <w:rPr>
          <w:rFonts w:hint="default" w:ascii="Times New Roman" w:hAnsi="Times New Roman" w:eastAsia="仿宋_GB2312" w:cs="Times New Roman"/>
          <w:sz w:val="28"/>
          <w:szCs w:val="28"/>
        </w:rPr>
        <w:t xml:space="preserve">年   月    日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D53967-0507-4D25-94EC-A0A301FD07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A376895-F1BA-4580-89E1-5AA5827392D4}"/>
  </w:font>
  <w:font w:name="方正公文小标宋">
    <w:panose1 w:val="02000500000000000000"/>
    <w:charset w:val="86"/>
    <w:family w:val="auto"/>
    <w:pitch w:val="default"/>
    <w:sig w:usb0="A00002BF" w:usb1="38CF7CFA" w:usb2="00000016" w:usb3="00000000" w:csb0="00040001" w:csb1="00000000"/>
    <w:embedRegular r:id="rId3" w:fontKey="{E813BE0F-506A-4ACF-A0B4-13DD02E14F1E}"/>
  </w:font>
  <w:font w:name="仿宋_GB2312">
    <w:panose1 w:val="02010609030101010101"/>
    <w:charset w:val="86"/>
    <w:family w:val="modern"/>
    <w:pitch w:val="default"/>
    <w:sig w:usb0="00000001" w:usb1="080E0000" w:usb2="00000000" w:usb3="00000000" w:csb0="00040000" w:csb1="00000000"/>
    <w:embedRegular r:id="rId4" w:fontKey="{13043439-EB67-49A7-8D40-A803787FF83F}"/>
  </w:font>
  <w:font w:name="方正大标宋简体">
    <w:panose1 w:val="02000000000000000000"/>
    <w:charset w:val="86"/>
    <w:family w:val="auto"/>
    <w:pitch w:val="default"/>
    <w:sig w:usb0="A00002BF" w:usb1="184F6CFA" w:usb2="00000012" w:usb3="00000000" w:csb0="00040001" w:csb1="00000000"/>
    <w:embedRegular r:id="rId5" w:fontKey="{4EC33928-8C2A-44C8-A2FA-5258618BE3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310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658FB">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C658FB">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DEEA">
    <w:pPr>
      <w:spacing w:line="352" w:lineRule="exact"/>
    </w:pPr>
    <w:r>
      <mc:AlternateContent>
        <mc:Choice Requires="wps">
          <w:drawing>
            <wp:anchor distT="0" distB="0" distL="114300" distR="114300" simplePos="0" relativeHeight="251659264" behindDoc="0" locked="0" layoutInCell="0" allowOverlap="1">
              <wp:simplePos x="0" y="0"/>
              <wp:positionH relativeFrom="page">
                <wp:posOffset>838835</wp:posOffset>
              </wp:positionH>
              <wp:positionV relativeFrom="page">
                <wp:posOffset>776605</wp:posOffset>
              </wp:positionV>
              <wp:extent cx="60452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6045200" cy="6350"/>
                      </a:xfrm>
                      <a:custGeom>
                        <a:avLst/>
                        <a:gdLst/>
                        <a:ahLst/>
                        <a:cxnLst/>
                        <a:pathLst>
                          <a:path w="9520" h="10">
                            <a:moveTo>
                              <a:pt x="0" y="0"/>
                            </a:moveTo>
                            <a:lnTo>
                              <a:pt x="9519" y="0"/>
                            </a:lnTo>
                            <a:lnTo>
                              <a:pt x="9519"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6.05pt;margin-top:61.15pt;height:0.5pt;width:476pt;mso-position-horizontal-relative:page;mso-position-vertical-relative:page;z-index:251659264;mso-width-relative:page;mso-height-relative:page;" fillcolor="#000000" filled="t" stroked="f" coordsize="9520,10" o:allowincell="f" o:gfxdata="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lTOF1wAAAAwBAAAPAAAAAAAAAAEAIAAA&#10;ACIAAABkcnMvZG93bnJldi54bWxQSwECFAAUAAAACACHTuJAQekI6g0CAAB5BAAADgAAAAAAAAAB&#10;ACAAAAAmAQAAZHJzL2Uyb0RvYy54bWxQSwUGAAAAAAYABgBZAQAApQUAAAAA&#10;" path="m0,0l9519,0,9519,9,0,9,0,0xe">
              <v:fill on="t" focussize="0,0"/>
              <v:stroke on="f"/>
              <v:imagedata o:title=""/>
              <o:lock v:ext="edit" aspectratio="f"/>
            </v:shape>
          </w:pict>
        </mc:Fallback>
      </mc:AlternateContent>
    </w:r>
    <w:r>
      <w:rPr>
        <w:position w:val="-7"/>
      </w:rPr>
      <w:drawing>
        <wp:inline distT="0" distB="0" distL="0" distR="0">
          <wp:extent cx="1452245" cy="223520"/>
          <wp:effectExtent l="0" t="0" r="14605" b="50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452372" cy="2240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372A1"/>
    <w:rsid w:val="01E07623"/>
    <w:rsid w:val="020411DA"/>
    <w:rsid w:val="042A6EF2"/>
    <w:rsid w:val="04C904B8"/>
    <w:rsid w:val="04DD5569"/>
    <w:rsid w:val="06127C3D"/>
    <w:rsid w:val="076646E5"/>
    <w:rsid w:val="08274BAD"/>
    <w:rsid w:val="085B03F1"/>
    <w:rsid w:val="08850B9A"/>
    <w:rsid w:val="08C2103A"/>
    <w:rsid w:val="093920B1"/>
    <w:rsid w:val="09811DD5"/>
    <w:rsid w:val="0AEF054D"/>
    <w:rsid w:val="0B521208"/>
    <w:rsid w:val="0B9E444D"/>
    <w:rsid w:val="0C476893"/>
    <w:rsid w:val="0CC632E2"/>
    <w:rsid w:val="0D1500CF"/>
    <w:rsid w:val="0D3F3A0E"/>
    <w:rsid w:val="0DC932D7"/>
    <w:rsid w:val="0FFD294E"/>
    <w:rsid w:val="101051ED"/>
    <w:rsid w:val="10F8137C"/>
    <w:rsid w:val="11205904"/>
    <w:rsid w:val="11716160"/>
    <w:rsid w:val="11B12A00"/>
    <w:rsid w:val="128B0EFC"/>
    <w:rsid w:val="13157522"/>
    <w:rsid w:val="14B922F8"/>
    <w:rsid w:val="158C3568"/>
    <w:rsid w:val="15FA2BC8"/>
    <w:rsid w:val="163F6D8E"/>
    <w:rsid w:val="16841A81"/>
    <w:rsid w:val="169B561E"/>
    <w:rsid w:val="16AB2114"/>
    <w:rsid w:val="17733908"/>
    <w:rsid w:val="1807337A"/>
    <w:rsid w:val="193C52A5"/>
    <w:rsid w:val="19632832"/>
    <w:rsid w:val="199C5D44"/>
    <w:rsid w:val="19CA72DF"/>
    <w:rsid w:val="1A393593"/>
    <w:rsid w:val="1AF20311"/>
    <w:rsid w:val="1B171B26"/>
    <w:rsid w:val="1B1E1106"/>
    <w:rsid w:val="1C1E64AF"/>
    <w:rsid w:val="1D104A7F"/>
    <w:rsid w:val="1D4604A0"/>
    <w:rsid w:val="1E57048B"/>
    <w:rsid w:val="1F75506D"/>
    <w:rsid w:val="1FBB7F9F"/>
    <w:rsid w:val="1FFE1506"/>
    <w:rsid w:val="214F28C1"/>
    <w:rsid w:val="214F4B32"/>
    <w:rsid w:val="21B52099"/>
    <w:rsid w:val="220F79FB"/>
    <w:rsid w:val="22910410"/>
    <w:rsid w:val="24B6415E"/>
    <w:rsid w:val="266F2F1B"/>
    <w:rsid w:val="26C01A21"/>
    <w:rsid w:val="27D90D77"/>
    <w:rsid w:val="283A6E54"/>
    <w:rsid w:val="28817483"/>
    <w:rsid w:val="294A756A"/>
    <w:rsid w:val="29F02881"/>
    <w:rsid w:val="2A3A75DF"/>
    <w:rsid w:val="2A847B4D"/>
    <w:rsid w:val="2AD417E1"/>
    <w:rsid w:val="2B8F74B6"/>
    <w:rsid w:val="2BA27ADE"/>
    <w:rsid w:val="2C530119"/>
    <w:rsid w:val="2C5B1423"/>
    <w:rsid w:val="2C9F7BCD"/>
    <w:rsid w:val="2E813A2E"/>
    <w:rsid w:val="2E8B0409"/>
    <w:rsid w:val="2FBE036A"/>
    <w:rsid w:val="2FCF7117"/>
    <w:rsid w:val="30247B0A"/>
    <w:rsid w:val="30915A7F"/>
    <w:rsid w:val="31456F95"/>
    <w:rsid w:val="31F369F1"/>
    <w:rsid w:val="32226207"/>
    <w:rsid w:val="3309737C"/>
    <w:rsid w:val="337C33B0"/>
    <w:rsid w:val="34050C5E"/>
    <w:rsid w:val="35125F65"/>
    <w:rsid w:val="356B276A"/>
    <w:rsid w:val="361B02C4"/>
    <w:rsid w:val="376A384F"/>
    <w:rsid w:val="377655FB"/>
    <w:rsid w:val="38A30A45"/>
    <w:rsid w:val="392B32DA"/>
    <w:rsid w:val="39331DC9"/>
    <w:rsid w:val="397D1A60"/>
    <w:rsid w:val="3B6651D3"/>
    <w:rsid w:val="3CC80A7A"/>
    <w:rsid w:val="3CDE3DFA"/>
    <w:rsid w:val="3D4225DB"/>
    <w:rsid w:val="3DE9514C"/>
    <w:rsid w:val="3E290C9C"/>
    <w:rsid w:val="3E2C5E4E"/>
    <w:rsid w:val="3E611186"/>
    <w:rsid w:val="3E7B4F22"/>
    <w:rsid w:val="3F2C3542"/>
    <w:rsid w:val="40A44D1B"/>
    <w:rsid w:val="412F731A"/>
    <w:rsid w:val="422E75D1"/>
    <w:rsid w:val="42701998"/>
    <w:rsid w:val="42C924A2"/>
    <w:rsid w:val="42D77C69"/>
    <w:rsid w:val="44A936FA"/>
    <w:rsid w:val="45575091"/>
    <w:rsid w:val="458D460F"/>
    <w:rsid w:val="473C009B"/>
    <w:rsid w:val="47413903"/>
    <w:rsid w:val="47C661BA"/>
    <w:rsid w:val="48EC13B2"/>
    <w:rsid w:val="49AD1724"/>
    <w:rsid w:val="49AD702E"/>
    <w:rsid w:val="49C01457"/>
    <w:rsid w:val="49F04FA9"/>
    <w:rsid w:val="4A0550BC"/>
    <w:rsid w:val="4AF561D6"/>
    <w:rsid w:val="4C6A38FC"/>
    <w:rsid w:val="4E604FB7"/>
    <w:rsid w:val="4E772300"/>
    <w:rsid w:val="4EA3747C"/>
    <w:rsid w:val="4F0F2539"/>
    <w:rsid w:val="4F92089C"/>
    <w:rsid w:val="4FBB18EA"/>
    <w:rsid w:val="512200B2"/>
    <w:rsid w:val="52CA0C50"/>
    <w:rsid w:val="53CD699A"/>
    <w:rsid w:val="54225706"/>
    <w:rsid w:val="54A13C33"/>
    <w:rsid w:val="55F45FE4"/>
    <w:rsid w:val="56551308"/>
    <w:rsid w:val="57DD1426"/>
    <w:rsid w:val="585039A6"/>
    <w:rsid w:val="586C637E"/>
    <w:rsid w:val="58AB5080"/>
    <w:rsid w:val="593372A1"/>
    <w:rsid w:val="5A655703"/>
    <w:rsid w:val="5B953DC6"/>
    <w:rsid w:val="5C2A6C04"/>
    <w:rsid w:val="5CB65AD3"/>
    <w:rsid w:val="5DA402F0"/>
    <w:rsid w:val="5F6E5059"/>
    <w:rsid w:val="5FAB1581"/>
    <w:rsid w:val="608763D3"/>
    <w:rsid w:val="612C0778"/>
    <w:rsid w:val="62382A94"/>
    <w:rsid w:val="630A6E47"/>
    <w:rsid w:val="64B96D77"/>
    <w:rsid w:val="6659611C"/>
    <w:rsid w:val="669051F0"/>
    <w:rsid w:val="676C502C"/>
    <w:rsid w:val="67BC2E06"/>
    <w:rsid w:val="67D0240D"/>
    <w:rsid w:val="67DB0571"/>
    <w:rsid w:val="68CA0D5A"/>
    <w:rsid w:val="69FF27F5"/>
    <w:rsid w:val="6A464C09"/>
    <w:rsid w:val="6A687275"/>
    <w:rsid w:val="6C1F5711"/>
    <w:rsid w:val="6C47110C"/>
    <w:rsid w:val="6D52740E"/>
    <w:rsid w:val="6E001573"/>
    <w:rsid w:val="6F085736"/>
    <w:rsid w:val="6FC211D5"/>
    <w:rsid w:val="6FC22F83"/>
    <w:rsid w:val="71502811"/>
    <w:rsid w:val="724539F8"/>
    <w:rsid w:val="7249798C"/>
    <w:rsid w:val="735E7467"/>
    <w:rsid w:val="73EA4857"/>
    <w:rsid w:val="740F250F"/>
    <w:rsid w:val="74A1166D"/>
    <w:rsid w:val="752E10BB"/>
    <w:rsid w:val="754601B3"/>
    <w:rsid w:val="75B90985"/>
    <w:rsid w:val="75E17EDC"/>
    <w:rsid w:val="762322A2"/>
    <w:rsid w:val="7783749C"/>
    <w:rsid w:val="7BE350CF"/>
    <w:rsid w:val="7C014E34"/>
    <w:rsid w:val="7E357016"/>
    <w:rsid w:val="7E5D031B"/>
    <w:rsid w:val="7EB0669D"/>
    <w:rsid w:val="7EC020A1"/>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line="360" w:lineRule="auto"/>
      <w:jc w:val="center"/>
      <w:outlineLvl w:val="0"/>
    </w:pPr>
    <w:rPr>
      <w:b/>
      <w:bCs/>
      <w:kern w:val="44"/>
      <w:sz w:val="30"/>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unhideWhenUsed/>
    <w:qFormat/>
    <w:uiPriority w:val="9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link w:val="2"/>
    <w:qFormat/>
    <w:uiPriority w:val="0"/>
    <w:rPr>
      <w:b/>
      <w:bCs/>
      <w:kern w:val="44"/>
      <w:sz w:val="30"/>
      <w:szCs w:val="44"/>
    </w:rPr>
  </w:style>
  <w:style w:type="paragraph" w:styleId="9">
    <w:name w:val="List Paragraph"/>
    <w:basedOn w:val="1"/>
    <w:qFormat/>
    <w:uiPriority w:val="34"/>
    <w:pPr>
      <w:ind w:firstLine="420" w:firstLineChars="200"/>
    </w:pPr>
  </w:style>
  <w:style w:type="character" w:customStyle="1" w:styleId="10">
    <w:name w:val="font21"/>
    <w:basedOn w:val="7"/>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7960</Words>
  <Characters>8338</Characters>
  <Lines>0</Lines>
  <Paragraphs>0</Paragraphs>
  <TotalTime>167</TotalTime>
  <ScaleCrop>false</ScaleCrop>
  <LinksUpToDate>false</LinksUpToDate>
  <CharactersWithSpaces>8712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2026-01-02T03:01:00Z</dcterms:created>
  <dc:creator>24275</dc:creator>
  <cp:lastModifiedBy>Minute</cp:lastModifiedBy>
  <dcterms:modified xsi:type="dcterms:W3CDTF">2026-01-16T07:15:31Z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BC6FAE10B1634D7B9440EB6F0CB61F71_11</vt:lpwstr>
  </property>
  <property fmtid="{D5CDD505-2E9C-101B-9397-08002B2CF9AE}" pid="4" name="KSOTemplateDocerSaveRecord">
    <vt:lpwstr>eyJoZGlkIjoiYzEwZmYyMDY4NGY2MTM2YzY1NWNkOTRmYWQ0YWNjYzciLCJ1c2VySWQiOiIzMDk0MDQ5MjkifQ==</vt:lpwstr>
  </property>
</Properties>
</file>